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4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0" w:type="dxa"/>
        <w:jc w:val="center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4"/>
        <w:gridCol w:w="3376"/>
      </w:tblGrid>
      <w:tr w:rsidR="00F710AA" w14:paraId="4E59734D" w14:textId="77777777" w:rsidTr="00F202DF">
        <w:trPr>
          <w:trHeight w:val="1610"/>
          <w:jc w:val="center"/>
        </w:trPr>
        <w:tc>
          <w:tcPr>
            <w:tcW w:w="6064" w:type="dxa"/>
            <w:shd w:val="clear" w:color="auto" w:fill="D9D9D9"/>
          </w:tcPr>
          <w:p w14:paraId="3DC7A8D5" w14:textId="77777777" w:rsidR="00F710AA" w:rsidRPr="00CB7BC3" w:rsidRDefault="00F710AA" w:rsidP="00F202DF">
            <w:pPr>
              <w:rPr>
                <w:rFonts w:ascii="Trebuchet MS" w:hAnsi="Trebuchet MS"/>
                <w:color w:val="336600"/>
                <w:sz w:val="48"/>
              </w:rPr>
            </w:pPr>
            <w:bookmarkStart w:id="0" w:name="_GoBack"/>
            <w:bookmarkEnd w:id="0"/>
            <w:r w:rsidRPr="00CB7BC3">
              <w:rPr>
                <w:rFonts w:ascii="Trebuchet MS" w:hAnsi="Trebuchet MS"/>
                <w:color w:val="336600"/>
                <w:sz w:val="48"/>
              </w:rPr>
              <w:t>Bulletin trimestriel de l’Indice</w:t>
            </w:r>
            <w:r w:rsidR="001023CC">
              <w:rPr>
                <w:rFonts w:ascii="Trebuchet MS" w:hAnsi="Trebuchet MS"/>
                <w:color w:val="336600"/>
                <w:sz w:val="48"/>
              </w:rPr>
              <w:t xml:space="preserve"> Harmonisé</w:t>
            </w:r>
            <w:r w:rsidRPr="00CB7BC3">
              <w:rPr>
                <w:rFonts w:ascii="Trebuchet MS" w:hAnsi="Trebuchet MS"/>
                <w:color w:val="336600"/>
                <w:sz w:val="48"/>
              </w:rPr>
              <w:t xml:space="preserve"> de la Production Industrielle</w:t>
            </w:r>
          </w:p>
          <w:p w14:paraId="2FA4B64B" w14:textId="77777777" w:rsidR="00F710AA" w:rsidRPr="00CB7BC3" w:rsidRDefault="00F710AA" w:rsidP="00F202DF">
            <w:pPr>
              <w:rPr>
                <w:rFonts w:ascii="Trebuchet MS" w:hAnsi="Trebuchet MS"/>
              </w:rPr>
            </w:pPr>
          </w:p>
        </w:tc>
        <w:tc>
          <w:tcPr>
            <w:tcW w:w="3376" w:type="dxa"/>
            <w:shd w:val="clear" w:color="auto" w:fill="D9D9D9"/>
          </w:tcPr>
          <w:p w14:paraId="5CF21696" w14:textId="77777777" w:rsidR="00F710AA" w:rsidRPr="00CB7BC3" w:rsidRDefault="00804C3C" w:rsidP="00F202DF">
            <w:pPr>
              <w:rPr>
                <w:rFonts w:ascii="Trebuchet MS" w:hAnsi="Trebuchet MS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961E297" wp14:editId="3B3EA1BC">
                  <wp:extent cx="1371600" cy="1276350"/>
                  <wp:effectExtent l="19050" t="0" r="0" b="0"/>
                  <wp:docPr id="2" name="Image 2" descr="C:\Users\HP\Documents\Dsee\Insae\Logo-INSAE[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Dsee\Insae\Logo-INSAE[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r="-114"/>
                          <a:stretch/>
                        </pic:blipFill>
                        <pic:spPr bwMode="auto">
                          <a:xfrm>
                            <a:off x="0" y="0"/>
                            <a:ext cx="1371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A91FA5" w14:textId="77777777" w:rsidR="00F710AA" w:rsidRPr="007E07B0" w:rsidRDefault="00F710AA" w:rsidP="00F710AA">
      <w:pPr>
        <w:jc w:val="center"/>
        <w:rPr>
          <w:sz w:val="18"/>
          <w:szCs w:val="23"/>
        </w:rPr>
      </w:pPr>
    </w:p>
    <w:p w14:paraId="6B2FF280" w14:textId="77777777" w:rsidR="00F710AA" w:rsidRPr="00CB7BC3" w:rsidRDefault="00E83F49" w:rsidP="00F710AA">
      <w:pPr>
        <w:pStyle w:val="Titre6"/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</w:rPr>
        <w:t>QUATRIEME</w:t>
      </w:r>
      <w:r w:rsidR="00F710AA" w:rsidRPr="00CB7BC3">
        <w:rPr>
          <w:rFonts w:ascii="Trebuchet MS" w:hAnsi="Trebuchet MS"/>
        </w:rPr>
        <w:t xml:space="preserve"> TRIMESTRE 20</w:t>
      </w:r>
      <w:r w:rsidR="00804C3C">
        <w:rPr>
          <w:rFonts w:ascii="Trebuchet MS" w:hAnsi="Trebuchet MS"/>
        </w:rPr>
        <w:t>1</w:t>
      </w:r>
      <w:r w:rsidR="00D3208D">
        <w:rPr>
          <w:rFonts w:ascii="Trebuchet MS" w:hAnsi="Trebuchet MS"/>
        </w:rPr>
        <w:t>8</w:t>
      </w:r>
    </w:p>
    <w:p w14:paraId="2977187B" w14:textId="77777777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Trebuchet MS" w:hAnsi="Trebuchet MS"/>
          <w:b/>
          <w:sz w:val="19"/>
          <w:szCs w:val="19"/>
        </w:rPr>
      </w:pPr>
      <w:r w:rsidRPr="00B6444B">
        <w:rPr>
          <w:rFonts w:ascii="Trebuchet MS" w:hAnsi="Trebuchet MS"/>
          <w:b/>
          <w:sz w:val="19"/>
          <w:szCs w:val="19"/>
        </w:rPr>
        <w:t>AVERTISSEMENT</w:t>
      </w:r>
    </w:p>
    <w:p w14:paraId="58F2E373" w14:textId="54A3A6EA" w:rsidR="00F710AA" w:rsidRPr="00B6444B" w:rsidRDefault="00F710AA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rFonts w:ascii="Trebuchet MS" w:hAnsi="Trebuchet MS"/>
          <w:sz w:val="19"/>
          <w:szCs w:val="19"/>
        </w:rPr>
      </w:pPr>
      <w:r w:rsidRPr="00B6444B">
        <w:rPr>
          <w:rFonts w:ascii="Trebuchet MS" w:hAnsi="Trebuchet MS"/>
          <w:sz w:val="19"/>
          <w:szCs w:val="19"/>
        </w:rPr>
        <w:t>L’INSAE a le plaisir de mettre à la disposition des utilisateurs</w:t>
      </w:r>
      <w:r>
        <w:rPr>
          <w:rFonts w:ascii="Trebuchet MS" w:hAnsi="Trebuchet MS"/>
          <w:sz w:val="19"/>
          <w:szCs w:val="19"/>
        </w:rPr>
        <w:t>,</w:t>
      </w:r>
      <w:r w:rsidRPr="00B6444B">
        <w:rPr>
          <w:rFonts w:ascii="Trebuchet MS" w:hAnsi="Trebuchet MS"/>
          <w:sz w:val="19"/>
          <w:szCs w:val="19"/>
        </w:rPr>
        <w:t xml:space="preserve"> l’Indice </w:t>
      </w:r>
      <w:r w:rsidR="00804C3C">
        <w:rPr>
          <w:rFonts w:ascii="Trebuchet MS" w:hAnsi="Trebuchet MS"/>
          <w:sz w:val="19"/>
          <w:szCs w:val="19"/>
        </w:rPr>
        <w:t xml:space="preserve">Harmonisé </w:t>
      </w:r>
      <w:r w:rsidRPr="00B6444B">
        <w:rPr>
          <w:rFonts w:ascii="Trebuchet MS" w:hAnsi="Trebuchet MS"/>
          <w:sz w:val="19"/>
          <w:szCs w:val="19"/>
        </w:rPr>
        <w:t>de la Production Industrielle (I</w:t>
      </w:r>
      <w:r w:rsidR="00804C3C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PI). L’I</w:t>
      </w:r>
      <w:r w:rsidR="0003771D">
        <w:rPr>
          <w:rFonts w:ascii="Trebuchet MS" w:hAnsi="Trebuchet MS"/>
          <w:sz w:val="19"/>
          <w:szCs w:val="19"/>
        </w:rPr>
        <w:t>H</w:t>
      </w:r>
      <w:r w:rsidRPr="00B6444B">
        <w:rPr>
          <w:rFonts w:ascii="Trebuchet MS" w:hAnsi="Trebuchet MS"/>
          <w:sz w:val="19"/>
          <w:szCs w:val="19"/>
        </w:rPr>
        <w:t>PI a pour population de référence l’ensemble des entreprises industrielles installées au Bénin. Les données sont collectées trimestriellement auprès des entreprises industrielles r</w:t>
      </w:r>
      <w:r w:rsidR="00676879">
        <w:rPr>
          <w:rFonts w:ascii="Trebuchet MS" w:hAnsi="Trebuchet MS"/>
          <w:sz w:val="19"/>
          <w:szCs w:val="19"/>
        </w:rPr>
        <w:t>assembl</w:t>
      </w:r>
      <w:r w:rsidRPr="00B6444B">
        <w:rPr>
          <w:rFonts w:ascii="Trebuchet MS" w:hAnsi="Trebuchet MS"/>
          <w:sz w:val="19"/>
          <w:szCs w:val="19"/>
        </w:rPr>
        <w:t xml:space="preserve">ées dans </w:t>
      </w:r>
      <w:r w:rsidR="00042BBD">
        <w:rPr>
          <w:rFonts w:ascii="Trebuchet MS" w:hAnsi="Trebuchet MS"/>
          <w:sz w:val="19"/>
          <w:szCs w:val="19"/>
        </w:rPr>
        <w:t>6</w:t>
      </w:r>
      <w:r w:rsidRPr="00B6444B">
        <w:rPr>
          <w:rFonts w:ascii="Trebuchet MS" w:hAnsi="Trebuchet MS"/>
          <w:sz w:val="19"/>
          <w:szCs w:val="19"/>
        </w:rPr>
        <w:t xml:space="preserve"> groupes industriels à savoir</w:t>
      </w:r>
      <w:r w:rsidR="00B87147">
        <w:rPr>
          <w:rFonts w:ascii="Trebuchet MS" w:hAnsi="Trebuchet MS"/>
          <w:sz w:val="19"/>
          <w:szCs w:val="19"/>
        </w:rPr>
        <w:t xml:space="preserve"> </w:t>
      </w:r>
      <w:r w:rsidR="00042BBD" w:rsidRPr="00B6444B">
        <w:rPr>
          <w:rFonts w:ascii="Trebuchet MS" w:hAnsi="Trebuchet MS"/>
          <w:sz w:val="19"/>
          <w:szCs w:val="19"/>
        </w:rPr>
        <w:t xml:space="preserve">les industries </w:t>
      </w:r>
      <w:r w:rsidR="00042BBD">
        <w:rPr>
          <w:rFonts w:ascii="Trebuchet MS" w:hAnsi="Trebuchet MS"/>
          <w:sz w:val="19"/>
          <w:szCs w:val="19"/>
        </w:rPr>
        <w:t>extractives,</w:t>
      </w:r>
      <w:r w:rsidRPr="00B6444B">
        <w:rPr>
          <w:rFonts w:ascii="Trebuchet MS" w:hAnsi="Trebuchet MS"/>
          <w:sz w:val="19"/>
          <w:szCs w:val="19"/>
        </w:rPr>
        <w:t xml:space="preserve"> les industries alimentaires, les industries textiles, les industries chimiques, l’énergie et les autres industries. </w:t>
      </w:r>
    </w:p>
    <w:p w14:paraId="790C9887" w14:textId="6C5931AC" w:rsidR="00F710AA" w:rsidRPr="0036092A" w:rsidRDefault="00804C3C" w:rsidP="00597B36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ind w:firstLine="567"/>
        <w:jc w:val="both"/>
        <w:rPr>
          <w:sz w:val="19"/>
          <w:szCs w:val="19"/>
        </w:rPr>
      </w:pPr>
      <w:r w:rsidRPr="00804C3C">
        <w:rPr>
          <w:rFonts w:ascii="Trebuchet MS" w:hAnsi="Trebuchet MS"/>
          <w:sz w:val="19"/>
          <w:szCs w:val="19"/>
        </w:rPr>
        <w:t>Au total, 4</w:t>
      </w:r>
      <w:r w:rsidR="00735652">
        <w:rPr>
          <w:rFonts w:ascii="Trebuchet MS" w:hAnsi="Trebuchet MS"/>
          <w:sz w:val="19"/>
          <w:szCs w:val="19"/>
        </w:rPr>
        <w:t>5</w:t>
      </w:r>
      <w:r w:rsidRPr="00804C3C">
        <w:rPr>
          <w:rFonts w:ascii="Trebuchet MS" w:hAnsi="Trebuchet MS"/>
          <w:sz w:val="19"/>
          <w:szCs w:val="19"/>
        </w:rPr>
        <w:t xml:space="preserve"> produits sont suivis auprès de </w:t>
      </w:r>
      <w:r w:rsidR="00735652">
        <w:rPr>
          <w:rFonts w:ascii="Trebuchet MS" w:hAnsi="Trebuchet MS"/>
          <w:sz w:val="19"/>
          <w:szCs w:val="19"/>
        </w:rPr>
        <w:t>2</w:t>
      </w:r>
      <w:r w:rsidRPr="00804C3C">
        <w:rPr>
          <w:rFonts w:ascii="Trebuchet MS" w:hAnsi="Trebuchet MS"/>
          <w:sz w:val="19"/>
          <w:szCs w:val="19"/>
        </w:rPr>
        <w:t>6 entreprises industrielles.</w:t>
      </w:r>
      <w:r w:rsidR="00F710AA" w:rsidRPr="00B6444B">
        <w:rPr>
          <w:rFonts w:ascii="Trebuchet MS" w:hAnsi="Trebuchet MS"/>
          <w:sz w:val="19"/>
          <w:szCs w:val="19"/>
        </w:rPr>
        <w:t xml:space="preserve"> La période de base de l’I</w:t>
      </w:r>
      <w:r>
        <w:rPr>
          <w:rFonts w:ascii="Trebuchet MS" w:hAnsi="Trebuchet MS"/>
          <w:sz w:val="19"/>
          <w:szCs w:val="19"/>
        </w:rPr>
        <w:t>H</w:t>
      </w:r>
      <w:r w:rsidR="00F710AA" w:rsidRPr="00B6444B">
        <w:rPr>
          <w:rFonts w:ascii="Trebuchet MS" w:hAnsi="Trebuchet MS"/>
          <w:sz w:val="19"/>
          <w:szCs w:val="19"/>
        </w:rPr>
        <w:t xml:space="preserve">PI est l’année </w:t>
      </w:r>
      <w:r>
        <w:rPr>
          <w:rFonts w:ascii="Trebuchet MS" w:hAnsi="Trebuchet MS"/>
          <w:sz w:val="19"/>
          <w:szCs w:val="19"/>
        </w:rPr>
        <w:t>2007</w:t>
      </w:r>
      <w:r w:rsidR="00F710AA" w:rsidRPr="00B6444B">
        <w:rPr>
          <w:rFonts w:ascii="Trebuchet MS" w:hAnsi="Trebuchet MS"/>
          <w:sz w:val="19"/>
          <w:szCs w:val="19"/>
        </w:rPr>
        <w:t xml:space="preserve"> et les pondérations de l’indice ont été déterminées à partir de</w:t>
      </w:r>
      <w:r w:rsidR="000C77CB">
        <w:rPr>
          <w:rFonts w:ascii="Trebuchet MS" w:hAnsi="Trebuchet MS"/>
          <w:sz w:val="19"/>
          <w:szCs w:val="19"/>
        </w:rPr>
        <w:t>s chiffres d’affaire hors taxes des entreprises de chaque branche.</w:t>
      </w:r>
      <w:r w:rsidR="00F710AA" w:rsidRPr="00B6444B">
        <w:rPr>
          <w:rFonts w:ascii="Trebuchet MS" w:hAnsi="Trebuchet MS"/>
          <w:sz w:val="19"/>
          <w:szCs w:val="19"/>
        </w:rPr>
        <w:t xml:space="preserve"> L’indice calculé est d</w:t>
      </w:r>
      <w:r w:rsidR="00B87147">
        <w:rPr>
          <w:rFonts w:ascii="Trebuchet MS" w:hAnsi="Trebuchet MS"/>
          <w:sz w:val="19"/>
          <w:szCs w:val="19"/>
        </w:rPr>
        <w:t>u</w:t>
      </w:r>
      <w:r w:rsidR="00F710AA" w:rsidRPr="00B6444B">
        <w:rPr>
          <w:rFonts w:ascii="Trebuchet MS" w:hAnsi="Trebuchet MS"/>
          <w:sz w:val="19"/>
          <w:szCs w:val="19"/>
        </w:rPr>
        <w:t xml:space="preserve"> type </w:t>
      </w:r>
      <w:proofErr w:type="spellStart"/>
      <w:r w:rsidR="00F710AA" w:rsidRPr="00B6444B">
        <w:rPr>
          <w:rFonts w:ascii="Trebuchet MS" w:hAnsi="Trebuchet MS"/>
          <w:sz w:val="19"/>
          <w:szCs w:val="19"/>
        </w:rPr>
        <w:t>Laspeyres</w:t>
      </w:r>
      <w:proofErr w:type="spellEnd"/>
      <w:r w:rsidR="00F710AA" w:rsidRPr="00B6444B">
        <w:rPr>
          <w:rFonts w:ascii="Trebuchet MS" w:hAnsi="Trebuchet MS"/>
          <w:sz w:val="19"/>
          <w:szCs w:val="19"/>
        </w:rPr>
        <w:t>.</w:t>
      </w:r>
    </w:p>
    <w:p w14:paraId="73446681" w14:textId="77777777" w:rsidR="00F710AA" w:rsidRDefault="00F710AA" w:rsidP="00F710AA">
      <w:pPr>
        <w:pStyle w:val="Titre5"/>
        <w:spacing w:before="180"/>
        <w:ind w:left="0"/>
        <w:jc w:val="left"/>
        <w:sectPr w:rsidR="00F710AA" w:rsidSect="00485B8D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276" w:right="1106" w:bottom="1418" w:left="964" w:header="720" w:footer="284" w:gutter="0"/>
          <w:cols w:space="720"/>
          <w:titlePg/>
        </w:sectPr>
      </w:pPr>
    </w:p>
    <w:p w14:paraId="221D5F9F" w14:textId="77777777" w:rsidR="00F710AA" w:rsidRPr="007E07B0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14"/>
          <w:szCs w:val="20"/>
          <w:lang w:bidi="ar-SA"/>
        </w:rPr>
      </w:pPr>
    </w:p>
    <w:p w14:paraId="5BEA1ADF" w14:textId="77777777" w:rsidR="00F710AA" w:rsidRPr="00B83755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</w:pPr>
      <w:r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L</w:t>
      </w:r>
      <w:r w:rsidR="000B5F2B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 </w:t>
      </w:r>
      <w:r w:rsidR="001C19A8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p</w:t>
      </w:r>
      <w:r w:rsidR="000B5F2B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roduction </w:t>
      </w:r>
      <w:r w:rsidR="001C19A8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i</w:t>
      </w:r>
      <w:r w:rsidR="000B5F2B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ndustrielle </w:t>
      </w:r>
      <w:r w:rsidR="006863E7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en hausse </w:t>
      </w:r>
      <w:r w:rsidR="0074576C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au </w:t>
      </w:r>
      <w:r w:rsidR="00B83755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quatrième</w:t>
      </w:r>
      <w:r w:rsidR="003D3BF3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 </w:t>
      </w:r>
      <w:r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trimestre 201</w:t>
      </w:r>
      <w:r w:rsidR="008E64CA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8</w:t>
      </w:r>
      <w:r w:rsidR="006863E7"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 xml:space="preserve"> en glissement annuel</w:t>
      </w:r>
      <w:r w:rsidRPr="00B83755">
        <w:rPr>
          <w:rFonts w:ascii="Arial,BoldItalic" w:hAnsi="Arial,BoldItalic" w:cs="Arial,BoldItalic"/>
          <w:b/>
          <w:bCs/>
          <w:i/>
          <w:iCs/>
          <w:color w:val="1F497D" w:themeColor="text2"/>
          <w:lang w:bidi="ar-SA"/>
        </w:rPr>
        <w:t>.</w:t>
      </w:r>
    </w:p>
    <w:p w14:paraId="3F15BB1F" w14:textId="77777777" w:rsidR="003821CE" w:rsidRPr="00B83755" w:rsidRDefault="003821CE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lang w:bidi="ar-SA"/>
        </w:rPr>
      </w:pPr>
    </w:p>
    <w:p w14:paraId="3FB8737F" w14:textId="77777777" w:rsidR="00F710AA" w:rsidRPr="00B83755" w:rsidRDefault="00F710AA" w:rsidP="00F710AA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</w:pPr>
    </w:p>
    <w:p w14:paraId="2233A3CF" w14:textId="77777777" w:rsidR="00B83755" w:rsidRDefault="004E2F5F" w:rsidP="00F735C0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La production industrielle </w:t>
      </w:r>
      <w:r w:rsidR="00602701">
        <w:rPr>
          <w:rFonts w:ascii="Trebuchet MS" w:hAnsi="Trebuchet MS"/>
          <w:sz w:val="19"/>
          <w:szCs w:val="19"/>
        </w:rPr>
        <w:t>a connu une embellie</w:t>
      </w:r>
      <w:r w:rsidR="00EC0129">
        <w:rPr>
          <w:rFonts w:ascii="Trebuchet MS" w:hAnsi="Trebuchet MS"/>
          <w:sz w:val="19"/>
          <w:szCs w:val="19"/>
        </w:rPr>
        <w:t xml:space="preserve"> (</w:t>
      </w:r>
      <w:r w:rsidR="00602701">
        <w:rPr>
          <w:rFonts w:ascii="Trebuchet MS" w:hAnsi="Trebuchet MS"/>
          <w:sz w:val="19"/>
          <w:szCs w:val="19"/>
        </w:rPr>
        <w:t>2</w:t>
      </w:r>
      <w:r w:rsidR="00EC0129">
        <w:rPr>
          <w:rFonts w:ascii="Trebuchet MS" w:hAnsi="Trebuchet MS"/>
          <w:sz w:val="19"/>
          <w:szCs w:val="19"/>
        </w:rPr>
        <w:t>,</w:t>
      </w:r>
      <w:r w:rsidR="00602701">
        <w:rPr>
          <w:rFonts w:ascii="Trebuchet MS" w:hAnsi="Trebuchet MS"/>
          <w:sz w:val="19"/>
          <w:szCs w:val="19"/>
        </w:rPr>
        <w:t>2</w:t>
      </w:r>
      <w:r w:rsidR="00EC0129">
        <w:rPr>
          <w:rFonts w:ascii="Trebuchet MS" w:hAnsi="Trebuchet MS"/>
          <w:sz w:val="19"/>
          <w:szCs w:val="19"/>
        </w:rPr>
        <w:t>%)</w:t>
      </w:r>
      <w:r>
        <w:rPr>
          <w:rFonts w:ascii="Trebuchet MS" w:hAnsi="Trebuchet MS"/>
          <w:sz w:val="19"/>
          <w:szCs w:val="19"/>
        </w:rPr>
        <w:t xml:space="preserve"> au </w:t>
      </w:r>
      <w:r w:rsidR="00602701">
        <w:rPr>
          <w:rFonts w:ascii="Trebuchet MS" w:hAnsi="Trebuchet MS"/>
          <w:sz w:val="19"/>
          <w:szCs w:val="19"/>
        </w:rPr>
        <w:t>quatrième</w:t>
      </w:r>
      <w:r>
        <w:rPr>
          <w:rFonts w:ascii="Trebuchet MS" w:hAnsi="Trebuchet MS"/>
          <w:sz w:val="19"/>
          <w:szCs w:val="19"/>
        </w:rPr>
        <w:t xml:space="preserve"> trimestre de 2018 par rapport à un an plus tôt</w:t>
      </w:r>
      <w:r w:rsidR="00FD49A2">
        <w:rPr>
          <w:rFonts w:ascii="Trebuchet MS" w:hAnsi="Trebuchet MS"/>
          <w:sz w:val="19"/>
          <w:szCs w:val="19"/>
        </w:rPr>
        <w:t>, tiré surtout</w:t>
      </w:r>
      <w:r w:rsidR="002B37A7">
        <w:rPr>
          <w:rFonts w:ascii="Trebuchet MS" w:hAnsi="Trebuchet MS"/>
          <w:sz w:val="19"/>
          <w:szCs w:val="19"/>
        </w:rPr>
        <w:t xml:space="preserve"> par l’industrie alimentaire (+</w:t>
      </w:r>
      <w:r w:rsidR="00FD49A2">
        <w:rPr>
          <w:rFonts w:ascii="Trebuchet MS" w:hAnsi="Trebuchet MS"/>
          <w:sz w:val="19"/>
          <w:szCs w:val="19"/>
        </w:rPr>
        <w:t>4,</w:t>
      </w:r>
      <w:r w:rsidR="002B37A7">
        <w:rPr>
          <w:rFonts w:ascii="Trebuchet MS" w:hAnsi="Trebuchet MS"/>
          <w:sz w:val="19"/>
          <w:szCs w:val="19"/>
        </w:rPr>
        <w:t>6</w:t>
      </w:r>
      <w:r w:rsidR="00FD49A2">
        <w:rPr>
          <w:rFonts w:ascii="Trebuchet MS" w:hAnsi="Trebuchet MS"/>
          <w:sz w:val="19"/>
          <w:szCs w:val="19"/>
        </w:rPr>
        <w:t>%)</w:t>
      </w:r>
      <w:r w:rsidR="00342528">
        <w:rPr>
          <w:rFonts w:ascii="Trebuchet MS" w:hAnsi="Trebuchet MS"/>
          <w:sz w:val="19"/>
          <w:szCs w:val="19"/>
        </w:rPr>
        <w:t>, l’énergie (1,3%)</w:t>
      </w:r>
      <w:r w:rsidR="002B37A7">
        <w:rPr>
          <w:rFonts w:ascii="Trebuchet MS" w:hAnsi="Trebuchet MS"/>
          <w:sz w:val="19"/>
          <w:szCs w:val="19"/>
        </w:rPr>
        <w:t xml:space="preserve"> et les autres industries (+4,4%)</w:t>
      </w:r>
      <w:r w:rsidR="00EC0129">
        <w:rPr>
          <w:rFonts w:ascii="Trebuchet MS" w:hAnsi="Trebuchet MS"/>
          <w:sz w:val="19"/>
          <w:szCs w:val="19"/>
        </w:rPr>
        <w:t xml:space="preserve">. </w:t>
      </w:r>
      <w:r w:rsidR="002B37A7">
        <w:rPr>
          <w:rFonts w:ascii="Trebuchet MS" w:hAnsi="Trebuchet MS"/>
          <w:sz w:val="19"/>
          <w:szCs w:val="19"/>
        </w:rPr>
        <w:t>De même</w:t>
      </w:r>
      <w:r w:rsidR="00EC0129">
        <w:rPr>
          <w:rFonts w:ascii="Trebuchet MS" w:hAnsi="Trebuchet MS"/>
          <w:sz w:val="19"/>
          <w:szCs w:val="19"/>
        </w:rPr>
        <w:t xml:space="preserve">, sur le trimestre, </w:t>
      </w:r>
      <w:r w:rsidR="00A93CB5">
        <w:rPr>
          <w:rFonts w:ascii="Trebuchet MS" w:hAnsi="Trebuchet MS"/>
          <w:sz w:val="19"/>
          <w:szCs w:val="19"/>
        </w:rPr>
        <w:t xml:space="preserve">on a enregistré un regain d’activités de l’appareil industriel </w:t>
      </w:r>
      <w:r w:rsidR="00EC0129">
        <w:rPr>
          <w:rFonts w:ascii="Trebuchet MS" w:hAnsi="Trebuchet MS"/>
          <w:sz w:val="19"/>
          <w:szCs w:val="19"/>
        </w:rPr>
        <w:t xml:space="preserve">au </w:t>
      </w:r>
      <w:r w:rsidR="00A93CB5">
        <w:rPr>
          <w:rFonts w:ascii="Trebuchet MS" w:hAnsi="Trebuchet MS"/>
          <w:sz w:val="19"/>
          <w:szCs w:val="19"/>
        </w:rPr>
        <w:t>quatrième</w:t>
      </w:r>
      <w:r w:rsidR="00EC0129">
        <w:rPr>
          <w:rFonts w:ascii="Trebuchet MS" w:hAnsi="Trebuchet MS"/>
          <w:sz w:val="19"/>
          <w:szCs w:val="19"/>
        </w:rPr>
        <w:t xml:space="preserve"> trimestre</w:t>
      </w:r>
      <w:r>
        <w:rPr>
          <w:rFonts w:ascii="Trebuchet MS" w:hAnsi="Trebuchet MS"/>
          <w:sz w:val="19"/>
          <w:szCs w:val="19"/>
        </w:rPr>
        <w:t>.</w:t>
      </w:r>
      <w:r w:rsidR="003D3BF3">
        <w:rPr>
          <w:rFonts w:ascii="Trebuchet MS" w:hAnsi="Trebuchet MS"/>
          <w:sz w:val="19"/>
          <w:szCs w:val="19"/>
        </w:rPr>
        <w:t xml:space="preserve"> </w:t>
      </w:r>
      <w:r w:rsidR="009A4180">
        <w:rPr>
          <w:rFonts w:ascii="Trebuchet MS" w:hAnsi="Trebuchet MS"/>
          <w:sz w:val="19"/>
          <w:szCs w:val="19"/>
        </w:rPr>
        <w:t xml:space="preserve">Cette </w:t>
      </w:r>
      <w:r w:rsidR="00A93CB5">
        <w:rPr>
          <w:rFonts w:ascii="Trebuchet MS" w:hAnsi="Trebuchet MS"/>
          <w:sz w:val="19"/>
          <w:szCs w:val="19"/>
        </w:rPr>
        <w:t>hausse</w:t>
      </w:r>
      <w:r w:rsidR="00DD3DE2">
        <w:rPr>
          <w:rFonts w:ascii="Trebuchet MS" w:hAnsi="Trebuchet MS"/>
          <w:sz w:val="19"/>
          <w:szCs w:val="19"/>
        </w:rPr>
        <w:t xml:space="preserve"> (</w:t>
      </w:r>
      <w:r w:rsidR="00A93CB5">
        <w:rPr>
          <w:rFonts w:ascii="Trebuchet MS" w:hAnsi="Trebuchet MS"/>
          <w:sz w:val="19"/>
          <w:szCs w:val="19"/>
        </w:rPr>
        <w:t>+2</w:t>
      </w:r>
      <w:r w:rsidR="00DD3DE2">
        <w:rPr>
          <w:rFonts w:ascii="Trebuchet MS" w:hAnsi="Trebuchet MS"/>
          <w:sz w:val="19"/>
          <w:szCs w:val="19"/>
        </w:rPr>
        <w:t>,</w:t>
      </w:r>
      <w:r w:rsidR="00A93CB5">
        <w:rPr>
          <w:rFonts w:ascii="Trebuchet MS" w:hAnsi="Trebuchet MS"/>
          <w:sz w:val="19"/>
          <w:szCs w:val="19"/>
        </w:rPr>
        <w:t>4</w:t>
      </w:r>
      <w:r w:rsidR="00DD3DE2">
        <w:rPr>
          <w:rFonts w:ascii="Trebuchet MS" w:hAnsi="Trebuchet MS"/>
          <w:sz w:val="19"/>
          <w:szCs w:val="19"/>
        </w:rPr>
        <w:t>%)</w:t>
      </w:r>
      <w:r w:rsidR="0089688C" w:rsidRPr="003A5A82">
        <w:rPr>
          <w:rFonts w:ascii="Trebuchet MS" w:hAnsi="Trebuchet MS"/>
          <w:sz w:val="19"/>
          <w:szCs w:val="19"/>
        </w:rPr>
        <w:t xml:space="preserve"> en glissement trimestriel de l’activité industrielle</w:t>
      </w:r>
      <w:r w:rsidR="003D3BF3">
        <w:rPr>
          <w:rFonts w:ascii="Trebuchet MS" w:hAnsi="Trebuchet MS"/>
          <w:sz w:val="19"/>
          <w:szCs w:val="19"/>
        </w:rPr>
        <w:t xml:space="preserve"> </w:t>
      </w:r>
      <w:r w:rsidR="00F735C0" w:rsidRPr="00663FAB">
        <w:rPr>
          <w:rFonts w:ascii="Trebuchet MS" w:hAnsi="Trebuchet MS"/>
          <w:sz w:val="19"/>
          <w:szCs w:val="19"/>
        </w:rPr>
        <w:t>est notamment imputable</w:t>
      </w:r>
      <w:r w:rsidR="006F64B2">
        <w:rPr>
          <w:rFonts w:ascii="Trebuchet MS" w:hAnsi="Trebuchet MS"/>
          <w:sz w:val="19"/>
          <w:szCs w:val="19"/>
        </w:rPr>
        <w:t xml:space="preserve"> </w:t>
      </w:r>
      <w:r w:rsidR="00A93CB5">
        <w:rPr>
          <w:rFonts w:ascii="Trebuchet MS" w:hAnsi="Trebuchet MS"/>
          <w:sz w:val="19"/>
          <w:szCs w:val="19"/>
        </w:rPr>
        <w:t>à la reprise remarquable notée</w:t>
      </w:r>
      <w:r w:rsidR="006F64B2">
        <w:rPr>
          <w:rFonts w:ascii="Trebuchet MS" w:hAnsi="Trebuchet MS"/>
          <w:sz w:val="19"/>
          <w:szCs w:val="19"/>
        </w:rPr>
        <w:t xml:space="preserve"> </w:t>
      </w:r>
      <w:r w:rsidR="00F735C0" w:rsidRPr="00663FAB">
        <w:rPr>
          <w:rFonts w:ascii="Trebuchet MS" w:hAnsi="Trebuchet MS"/>
          <w:sz w:val="19"/>
          <w:szCs w:val="19"/>
        </w:rPr>
        <w:t xml:space="preserve">dans l’industrie </w:t>
      </w:r>
      <w:r w:rsidR="00A93CB5">
        <w:rPr>
          <w:rFonts w:ascii="Trebuchet MS" w:hAnsi="Trebuchet MS"/>
          <w:sz w:val="19"/>
          <w:szCs w:val="19"/>
        </w:rPr>
        <w:t>chimique</w:t>
      </w:r>
      <w:r w:rsidR="00372D31">
        <w:rPr>
          <w:rFonts w:ascii="Trebuchet MS" w:hAnsi="Trebuchet MS"/>
          <w:sz w:val="19"/>
          <w:szCs w:val="19"/>
        </w:rPr>
        <w:t xml:space="preserve"> (</w:t>
      </w:r>
      <w:r w:rsidR="00A93CB5">
        <w:rPr>
          <w:rFonts w:ascii="Trebuchet MS" w:hAnsi="Trebuchet MS"/>
          <w:sz w:val="19"/>
          <w:szCs w:val="19"/>
        </w:rPr>
        <w:t>+12</w:t>
      </w:r>
      <w:r w:rsidR="00372D31">
        <w:rPr>
          <w:rFonts w:ascii="Trebuchet MS" w:hAnsi="Trebuchet MS"/>
          <w:sz w:val="19"/>
          <w:szCs w:val="19"/>
        </w:rPr>
        <w:t>,</w:t>
      </w:r>
      <w:r w:rsidR="00A93CB5">
        <w:rPr>
          <w:rFonts w:ascii="Trebuchet MS" w:hAnsi="Trebuchet MS"/>
          <w:sz w:val="19"/>
          <w:szCs w:val="19"/>
        </w:rPr>
        <w:t>1</w:t>
      </w:r>
      <w:r w:rsidR="00372D31">
        <w:rPr>
          <w:rFonts w:ascii="Trebuchet MS" w:hAnsi="Trebuchet MS"/>
          <w:sz w:val="19"/>
          <w:szCs w:val="19"/>
        </w:rPr>
        <w:t>%)</w:t>
      </w:r>
      <w:r w:rsidR="00A93CB5">
        <w:rPr>
          <w:rFonts w:ascii="Trebuchet MS" w:hAnsi="Trebuchet MS"/>
          <w:sz w:val="19"/>
          <w:szCs w:val="19"/>
        </w:rPr>
        <w:t xml:space="preserve"> et dans la production énergétique (+9,0%).</w:t>
      </w:r>
      <w:r w:rsidR="00116DE7">
        <w:rPr>
          <w:rFonts w:ascii="Trebuchet MS" w:hAnsi="Trebuchet MS"/>
          <w:sz w:val="19"/>
          <w:szCs w:val="19"/>
        </w:rPr>
        <w:t>Il</w:t>
      </w:r>
      <w:r w:rsidR="00F735C0" w:rsidRPr="00663FAB">
        <w:rPr>
          <w:rFonts w:ascii="Trebuchet MS" w:hAnsi="Trebuchet MS"/>
          <w:sz w:val="19"/>
          <w:szCs w:val="19"/>
        </w:rPr>
        <w:t xml:space="preserve"> est à signaler </w:t>
      </w:r>
      <w:r w:rsidR="00F735C0">
        <w:rPr>
          <w:rFonts w:ascii="Trebuchet MS" w:hAnsi="Trebuchet MS"/>
          <w:sz w:val="19"/>
          <w:szCs w:val="19"/>
        </w:rPr>
        <w:t>en revanche que les industries</w:t>
      </w:r>
      <w:r w:rsidR="003D3BF3">
        <w:rPr>
          <w:rFonts w:ascii="Trebuchet MS" w:hAnsi="Trebuchet MS"/>
          <w:sz w:val="19"/>
          <w:szCs w:val="19"/>
        </w:rPr>
        <w:t xml:space="preserve"> </w:t>
      </w:r>
      <w:r w:rsidR="00FF56F3">
        <w:rPr>
          <w:rFonts w:ascii="Trebuchet MS" w:hAnsi="Trebuchet MS"/>
          <w:sz w:val="19"/>
          <w:szCs w:val="19"/>
        </w:rPr>
        <w:t xml:space="preserve">alimentaires, </w:t>
      </w:r>
      <w:r w:rsidR="00372D31">
        <w:rPr>
          <w:rFonts w:ascii="Trebuchet MS" w:hAnsi="Trebuchet MS"/>
          <w:sz w:val="19"/>
          <w:szCs w:val="19"/>
        </w:rPr>
        <w:t>extractive</w:t>
      </w:r>
      <w:r w:rsidR="003A5A82">
        <w:rPr>
          <w:rFonts w:ascii="Trebuchet MS" w:hAnsi="Trebuchet MS"/>
          <w:sz w:val="19"/>
          <w:szCs w:val="19"/>
        </w:rPr>
        <w:t>s</w:t>
      </w:r>
      <w:r w:rsidR="00F735C0">
        <w:rPr>
          <w:rFonts w:ascii="Trebuchet MS" w:hAnsi="Trebuchet MS"/>
          <w:sz w:val="19"/>
          <w:szCs w:val="19"/>
        </w:rPr>
        <w:t xml:space="preserve">, </w:t>
      </w:r>
      <w:r w:rsidR="00372D31">
        <w:rPr>
          <w:rFonts w:ascii="Trebuchet MS" w:hAnsi="Trebuchet MS"/>
          <w:sz w:val="19"/>
          <w:szCs w:val="19"/>
        </w:rPr>
        <w:t>textile</w:t>
      </w:r>
      <w:r w:rsidR="003A5A82">
        <w:rPr>
          <w:rFonts w:ascii="Trebuchet MS" w:hAnsi="Trebuchet MS"/>
          <w:sz w:val="19"/>
          <w:szCs w:val="19"/>
        </w:rPr>
        <w:t>s</w:t>
      </w:r>
      <w:r w:rsidR="00F735C0">
        <w:rPr>
          <w:rFonts w:ascii="Trebuchet MS" w:hAnsi="Trebuchet MS"/>
          <w:sz w:val="19"/>
          <w:szCs w:val="19"/>
        </w:rPr>
        <w:t xml:space="preserve"> et </w:t>
      </w:r>
      <w:r w:rsidR="003A5A82">
        <w:rPr>
          <w:rFonts w:ascii="Trebuchet MS" w:hAnsi="Trebuchet MS"/>
          <w:sz w:val="19"/>
          <w:szCs w:val="19"/>
        </w:rPr>
        <w:t xml:space="preserve">les autres industries </w:t>
      </w:r>
      <w:r w:rsidR="00F735C0">
        <w:rPr>
          <w:rFonts w:ascii="Trebuchet MS" w:hAnsi="Trebuchet MS"/>
          <w:sz w:val="19"/>
          <w:szCs w:val="19"/>
        </w:rPr>
        <w:t xml:space="preserve">enregistrent de </w:t>
      </w:r>
      <w:r w:rsidR="00FF56F3">
        <w:rPr>
          <w:rFonts w:ascii="Trebuchet MS" w:hAnsi="Trebuchet MS"/>
          <w:sz w:val="19"/>
          <w:szCs w:val="19"/>
        </w:rPr>
        <w:t>contre-</w:t>
      </w:r>
      <w:r w:rsidR="00FF56F3" w:rsidRPr="00663FAB">
        <w:rPr>
          <w:rFonts w:ascii="Trebuchet MS" w:hAnsi="Trebuchet MS"/>
          <w:sz w:val="19"/>
          <w:szCs w:val="19"/>
        </w:rPr>
        <w:t>performances</w:t>
      </w:r>
      <w:r w:rsidR="00F735C0" w:rsidRPr="00663FAB">
        <w:rPr>
          <w:rFonts w:ascii="Trebuchet MS" w:hAnsi="Trebuchet MS"/>
          <w:sz w:val="19"/>
          <w:szCs w:val="19"/>
        </w:rPr>
        <w:t xml:space="preserve"> sur la période sous revue.</w:t>
      </w:r>
    </w:p>
    <w:p w14:paraId="321FF96B" w14:textId="77777777" w:rsidR="008A780D" w:rsidRDefault="008A780D" w:rsidP="00F735C0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Par rapport à l’année précédente l’activité industrielle a enregistré </w:t>
      </w:r>
      <w:r w:rsidR="00602701">
        <w:rPr>
          <w:rFonts w:ascii="Trebuchet MS" w:hAnsi="Trebuchet MS"/>
          <w:sz w:val="19"/>
          <w:szCs w:val="19"/>
        </w:rPr>
        <w:t xml:space="preserve">en moyenne annuelle </w:t>
      </w:r>
      <w:r>
        <w:rPr>
          <w:rFonts w:ascii="Trebuchet MS" w:hAnsi="Trebuchet MS"/>
          <w:sz w:val="19"/>
          <w:szCs w:val="19"/>
        </w:rPr>
        <w:t xml:space="preserve">une croissance de </w:t>
      </w:r>
      <w:r w:rsidR="00602701">
        <w:rPr>
          <w:rFonts w:ascii="Trebuchet MS" w:hAnsi="Trebuchet MS"/>
          <w:sz w:val="19"/>
          <w:szCs w:val="19"/>
        </w:rPr>
        <w:t>3</w:t>
      </w:r>
      <w:r>
        <w:rPr>
          <w:rFonts w:ascii="Trebuchet MS" w:hAnsi="Trebuchet MS"/>
          <w:sz w:val="19"/>
          <w:szCs w:val="19"/>
        </w:rPr>
        <w:t>,</w:t>
      </w:r>
      <w:r w:rsidR="00602701">
        <w:rPr>
          <w:rFonts w:ascii="Trebuchet MS" w:hAnsi="Trebuchet MS"/>
          <w:sz w:val="19"/>
          <w:szCs w:val="19"/>
        </w:rPr>
        <w:t>5</w:t>
      </w:r>
      <w:r>
        <w:rPr>
          <w:rFonts w:ascii="Trebuchet MS" w:hAnsi="Trebuchet MS"/>
          <w:sz w:val="19"/>
          <w:szCs w:val="19"/>
        </w:rPr>
        <w:t>% en 2018</w:t>
      </w:r>
      <w:r w:rsidR="00602701">
        <w:rPr>
          <w:rFonts w:ascii="Trebuchet MS" w:hAnsi="Trebuchet MS"/>
          <w:sz w:val="19"/>
          <w:szCs w:val="19"/>
        </w:rPr>
        <w:t>.</w:t>
      </w:r>
    </w:p>
    <w:p w14:paraId="0FB040B6" w14:textId="77777777" w:rsidR="00B3274B" w:rsidRPr="00B3274B" w:rsidRDefault="00B3274B" w:rsidP="0089688C">
      <w:pPr>
        <w:jc w:val="both"/>
        <w:rPr>
          <w:rFonts w:ascii="Trebuchet MS" w:hAnsi="Trebuchet MS"/>
          <w:sz w:val="4"/>
          <w:szCs w:val="19"/>
        </w:rPr>
      </w:pPr>
    </w:p>
    <w:tbl>
      <w:tblPr>
        <w:tblW w:w="4561" w:type="pct"/>
        <w:tblInd w:w="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775"/>
        <w:gridCol w:w="774"/>
        <w:gridCol w:w="772"/>
        <w:gridCol w:w="828"/>
        <w:gridCol w:w="772"/>
        <w:gridCol w:w="1607"/>
        <w:gridCol w:w="1594"/>
      </w:tblGrid>
      <w:tr w:rsidR="00C70A73" w:rsidRPr="00732973" w14:paraId="47CBF7DF" w14:textId="77777777" w:rsidTr="008A780D">
        <w:trPr>
          <w:trHeight w:val="221"/>
        </w:trPr>
        <w:tc>
          <w:tcPr>
            <w:tcW w:w="10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F3A7D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Périodes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3CC57" w14:textId="77777777" w:rsidR="00C70A73" w:rsidRDefault="00C70A73" w:rsidP="00602701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</w:t>
            </w:r>
            <w:r w:rsidR="00602701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4</w:t>
            </w: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-17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2F40E" w14:textId="77777777" w:rsidR="00C70A73" w:rsidRDefault="00C70A73" w:rsidP="00602701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</w:t>
            </w:r>
            <w:r w:rsidR="00602701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1</w:t>
            </w: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-1</w:t>
            </w:r>
            <w:r w:rsidR="00602701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99DBE" w14:textId="77777777" w:rsidR="00C70A73" w:rsidRDefault="00C70A73" w:rsidP="00602701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</w:t>
            </w:r>
            <w:r w:rsidR="00602701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2</w:t>
            </w: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-18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56800" w14:textId="77777777" w:rsidR="00C70A73" w:rsidRDefault="00C70A73" w:rsidP="00602701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</w:t>
            </w:r>
            <w:r w:rsidR="00602701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3</w:t>
            </w: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-18</w:t>
            </w:r>
          </w:p>
        </w:tc>
        <w:tc>
          <w:tcPr>
            <w:tcW w:w="42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3AA03" w14:textId="77777777" w:rsidR="00C70A73" w:rsidRDefault="00C70A73" w:rsidP="00602701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T</w:t>
            </w:r>
            <w:r w:rsidR="00602701"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4</w:t>
            </w:r>
            <w:r>
              <w:rPr>
                <w:rFonts w:ascii="Trebuchet MS" w:hAnsi="Trebuchet MS" w:cs="Calibri"/>
                <w:b/>
                <w:bCs/>
                <w:color w:val="000000"/>
                <w:sz w:val="19"/>
                <w:szCs w:val="19"/>
              </w:rPr>
              <w:t>-18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DD8AF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Glissement</w:t>
            </w:r>
          </w:p>
          <w:p w14:paraId="779E6FC3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trimestriel (T/T-1)</w:t>
            </w:r>
          </w:p>
        </w:tc>
        <w:tc>
          <w:tcPr>
            <w:tcW w:w="87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28E68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Glissement annuel</w:t>
            </w:r>
          </w:p>
          <w:p w14:paraId="728DDFB4" w14:textId="77777777" w:rsidR="00C70A73" w:rsidRDefault="00C70A73" w:rsidP="00046596">
            <w:pPr>
              <w:jc w:val="center"/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  <w:t>(T/T-4)</w:t>
            </w:r>
          </w:p>
        </w:tc>
      </w:tr>
      <w:tr w:rsidR="008A780D" w:rsidRPr="00732973" w14:paraId="224D1941" w14:textId="77777777" w:rsidTr="008A780D">
        <w:trPr>
          <w:trHeight w:val="215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10D09" w14:textId="77777777" w:rsidR="008A780D" w:rsidRPr="00732973" w:rsidRDefault="008A780D" w:rsidP="008A780D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Extractive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E091C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  <w:lang w:bidi="ar-SA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28,3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02DF2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F6E49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82,6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6CA65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97,2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F89C5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95,5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4EE74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-1,7%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CD890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237,4%</w:t>
            </w:r>
          </w:p>
        </w:tc>
      </w:tr>
      <w:tr w:rsidR="008A780D" w:rsidRPr="00732973" w14:paraId="38CCBC06" w14:textId="77777777" w:rsidTr="008A780D">
        <w:trPr>
          <w:trHeight w:val="136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E9FB8" w14:textId="77777777" w:rsidR="008A780D" w:rsidRPr="00732973" w:rsidRDefault="008A780D" w:rsidP="008A780D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alimentaire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205CC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100,5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35468A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118,8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00E66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118,5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538F8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B75ABD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105,2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0B391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-6,9%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59047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4,6%</w:t>
            </w:r>
          </w:p>
        </w:tc>
      </w:tr>
      <w:tr w:rsidR="008A780D" w:rsidRPr="00732973" w14:paraId="742E020D" w14:textId="77777777" w:rsidTr="008A780D">
        <w:trPr>
          <w:trHeight w:val="83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60FEB" w14:textId="77777777" w:rsidR="008A780D" w:rsidRPr="00732973" w:rsidRDefault="008A780D" w:rsidP="008A780D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textile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D66C3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69,7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C301E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71,5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AA52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63,0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8C0D7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74,0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AD107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65,1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1FA33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-12,1%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255B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-6,6%</w:t>
            </w:r>
          </w:p>
        </w:tc>
      </w:tr>
      <w:tr w:rsidR="008A780D" w:rsidRPr="00732973" w14:paraId="023396DE" w14:textId="77777777" w:rsidTr="008A780D">
        <w:trPr>
          <w:trHeight w:val="6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19F71" w14:textId="77777777" w:rsidR="008A780D" w:rsidRPr="00732973" w:rsidRDefault="008A780D" w:rsidP="008A780D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Industrie chimique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E691F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123,2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3B782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160,1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3C9A0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124,5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AB8F8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82,7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E4A1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92,7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DA27E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12,1%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FA9D7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-24,8%</w:t>
            </w:r>
          </w:p>
        </w:tc>
      </w:tr>
      <w:tr w:rsidR="008A780D" w:rsidRPr="00732973" w14:paraId="4969CAC8" w14:textId="77777777" w:rsidTr="008A780D">
        <w:trPr>
          <w:trHeight w:val="80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F7C7F" w14:textId="77777777" w:rsidR="008A780D" w:rsidRPr="00732973" w:rsidRDefault="008A780D" w:rsidP="008A780D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Energie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7D04F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226,9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F2BB5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232,6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CA3C2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229,3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31D9F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210,9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435EE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229,9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5A4C7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9,0%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1F64C6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1,3%</w:t>
            </w:r>
          </w:p>
        </w:tc>
      </w:tr>
      <w:tr w:rsidR="008A780D" w:rsidRPr="00732973" w14:paraId="403B76B9" w14:textId="77777777" w:rsidTr="008A780D">
        <w:trPr>
          <w:trHeight w:val="125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5461A" w14:textId="77777777" w:rsidR="008A780D" w:rsidRPr="00732973" w:rsidRDefault="008A780D" w:rsidP="008A780D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Autres industries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F3F6B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0BBF9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7F99B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102,6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F60FC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115,2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88DCB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115,7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49476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0,4%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06C67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4,4%</w:t>
            </w:r>
          </w:p>
        </w:tc>
      </w:tr>
      <w:tr w:rsidR="008A780D" w:rsidRPr="00732973" w14:paraId="168519F9" w14:textId="77777777" w:rsidTr="008A780D">
        <w:trPr>
          <w:trHeight w:val="161"/>
        </w:trPr>
        <w:tc>
          <w:tcPr>
            <w:tcW w:w="10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65FBD" w14:textId="77777777" w:rsidR="008A780D" w:rsidRPr="00732973" w:rsidRDefault="008A780D" w:rsidP="008A780D">
            <w:pPr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</w:pPr>
            <w:r w:rsidRPr="00732973">
              <w:rPr>
                <w:rFonts w:ascii="Trebuchet MS" w:hAnsi="Trebuchet MS" w:cs="Calibri"/>
                <w:bCs/>
                <w:color w:val="000000"/>
                <w:sz w:val="19"/>
                <w:szCs w:val="19"/>
              </w:rPr>
              <w:t>INDICE GLOBAL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3A8E7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137,9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9E8E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146,5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E671FE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01743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137,7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0DBA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140,9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06EBD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2,4%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53527" w14:textId="77777777" w:rsidR="008A780D" w:rsidRDefault="008A780D" w:rsidP="008A780D">
            <w:pPr>
              <w:jc w:val="center"/>
              <w:rPr>
                <w:rFonts w:ascii="Trebuchet MS" w:hAnsi="Trebuchet MS" w:cs="Calibri"/>
                <w:color w:val="000000"/>
                <w:sz w:val="19"/>
                <w:szCs w:val="19"/>
              </w:rPr>
            </w:pPr>
            <w:r>
              <w:rPr>
                <w:rFonts w:ascii="Trebuchet MS" w:hAnsi="Trebuchet MS" w:cs="Calibri"/>
                <w:color w:val="000000"/>
                <w:sz w:val="19"/>
                <w:szCs w:val="19"/>
              </w:rPr>
              <w:t>2,2%</w:t>
            </w:r>
          </w:p>
        </w:tc>
      </w:tr>
    </w:tbl>
    <w:p w14:paraId="0B422227" w14:textId="77777777" w:rsidR="00590581" w:rsidRPr="00590581" w:rsidRDefault="00590581" w:rsidP="003C2D9B">
      <w:pPr>
        <w:autoSpaceDE w:val="0"/>
        <w:autoSpaceDN w:val="0"/>
        <w:adjustRightInd w:val="0"/>
        <w:rPr>
          <w:rFonts w:ascii="Trebuchet MS" w:hAnsi="Trebuchet MS"/>
          <w:b/>
          <w:sz w:val="6"/>
          <w:szCs w:val="16"/>
        </w:rPr>
      </w:pPr>
    </w:p>
    <w:p w14:paraId="0324EA98" w14:textId="77777777" w:rsidR="00FA227B" w:rsidRDefault="00F710AA" w:rsidP="003C2D9B">
      <w:pPr>
        <w:autoSpaceDE w:val="0"/>
        <w:autoSpaceDN w:val="0"/>
        <w:adjustRightInd w:val="0"/>
        <w:rPr>
          <w:rFonts w:ascii="Trebuchet MS" w:hAnsi="Trebuchet MS"/>
          <w:sz w:val="16"/>
          <w:szCs w:val="16"/>
        </w:rPr>
      </w:pPr>
      <w:r w:rsidRPr="000F7B07">
        <w:rPr>
          <w:rFonts w:ascii="Trebuchet MS" w:hAnsi="Trebuchet MS"/>
          <w:b/>
          <w:sz w:val="16"/>
          <w:szCs w:val="16"/>
        </w:rPr>
        <w:t>Source :</w:t>
      </w:r>
      <w:r w:rsidRPr="00FB7585">
        <w:rPr>
          <w:rFonts w:ascii="Trebuchet MS" w:hAnsi="Trebuchet MS"/>
          <w:sz w:val="16"/>
          <w:szCs w:val="16"/>
        </w:rPr>
        <w:t xml:space="preserve"> INSAE, DSEE</w:t>
      </w:r>
    </w:p>
    <w:p w14:paraId="3A487414" w14:textId="77777777" w:rsidR="00FF56F3" w:rsidRDefault="00FF56F3" w:rsidP="003C2D9B">
      <w:pPr>
        <w:autoSpaceDE w:val="0"/>
        <w:autoSpaceDN w:val="0"/>
        <w:adjustRightInd w:val="0"/>
        <w:rPr>
          <w:rFonts w:ascii="Trebuchet MS" w:hAnsi="Trebuchet MS"/>
          <w:sz w:val="2"/>
          <w:szCs w:val="16"/>
        </w:rPr>
      </w:pPr>
    </w:p>
    <w:p w14:paraId="0899F937" w14:textId="77777777" w:rsidR="00FF56F3" w:rsidRPr="00FF56F3" w:rsidRDefault="00FF56F3" w:rsidP="00FF56F3">
      <w:pPr>
        <w:rPr>
          <w:rFonts w:ascii="Trebuchet MS" w:hAnsi="Trebuchet MS"/>
          <w:sz w:val="2"/>
          <w:szCs w:val="16"/>
        </w:rPr>
      </w:pPr>
    </w:p>
    <w:p w14:paraId="15FA6436" w14:textId="77777777" w:rsidR="00FF56F3" w:rsidRPr="00FF56F3" w:rsidRDefault="00FF56F3" w:rsidP="00FF56F3">
      <w:pPr>
        <w:rPr>
          <w:rFonts w:ascii="Trebuchet MS" w:hAnsi="Trebuchet MS"/>
          <w:sz w:val="2"/>
          <w:szCs w:val="16"/>
        </w:rPr>
      </w:pPr>
    </w:p>
    <w:p w14:paraId="41E32C0E" w14:textId="77777777" w:rsidR="00FF56F3" w:rsidRDefault="00FF56F3" w:rsidP="00FF56F3">
      <w:pPr>
        <w:rPr>
          <w:rFonts w:ascii="Trebuchet MS" w:hAnsi="Trebuchet MS"/>
          <w:sz w:val="2"/>
          <w:szCs w:val="16"/>
        </w:rPr>
      </w:pPr>
    </w:p>
    <w:p w14:paraId="431DF704" w14:textId="77777777" w:rsidR="00FF56F3" w:rsidRDefault="00FF56F3" w:rsidP="00FF56F3">
      <w:pPr>
        <w:rPr>
          <w:rFonts w:ascii="Trebuchet MS" w:hAnsi="Trebuchet MS"/>
          <w:sz w:val="2"/>
          <w:szCs w:val="16"/>
        </w:rPr>
      </w:pPr>
    </w:p>
    <w:p w14:paraId="6F9A3DCD" w14:textId="77777777" w:rsidR="00FF56F3" w:rsidRDefault="00FF56F3" w:rsidP="00FF56F3">
      <w:pPr>
        <w:rPr>
          <w:rFonts w:ascii="Trebuchet MS" w:hAnsi="Trebuchet MS"/>
          <w:sz w:val="2"/>
          <w:szCs w:val="16"/>
        </w:rPr>
      </w:pPr>
    </w:p>
    <w:p w14:paraId="0B41CA27" w14:textId="77777777" w:rsidR="007E07B0" w:rsidRPr="00A63576" w:rsidRDefault="008A780D" w:rsidP="00C066B3">
      <w:pPr>
        <w:tabs>
          <w:tab w:val="left" w:pos="1695"/>
        </w:tabs>
        <w:autoSpaceDE w:val="0"/>
        <w:autoSpaceDN w:val="0"/>
        <w:adjustRightInd w:val="0"/>
        <w:spacing w:after="240"/>
        <w:jc w:val="center"/>
        <w:rPr>
          <w:rFonts w:ascii="Arial,BoldItalic" w:hAnsi="Arial,BoldItalic" w:cs="Arial,BoldItalic"/>
          <w:bCs/>
          <w:iCs/>
          <w:sz w:val="20"/>
          <w:szCs w:val="20"/>
          <w:lang w:bidi="ar-SA"/>
        </w:rPr>
        <w:sectPr w:rsidR="007E07B0" w:rsidRPr="00A63576" w:rsidSect="00DD7397">
          <w:type w:val="continuous"/>
          <w:pgSz w:w="11906" w:h="16838"/>
          <w:pgMar w:top="1418" w:right="1106" w:bottom="1418" w:left="964" w:header="720" w:footer="284" w:gutter="0"/>
          <w:cols w:space="720"/>
          <w:titlePg/>
        </w:sectPr>
      </w:pPr>
      <w:r>
        <w:rPr>
          <w:noProof/>
          <w:lang w:bidi="ar-SA"/>
        </w:rPr>
        <w:drawing>
          <wp:inline distT="0" distB="0" distL="0" distR="0" wp14:anchorId="6CCF798B" wp14:editId="6E76B7F0">
            <wp:extent cx="5600700" cy="1847850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F4E433" w14:textId="77777777" w:rsidR="005D1DC3" w:rsidRDefault="008B3E95" w:rsidP="00280C5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>La</w:t>
      </w:r>
      <w:r w:rsidR="005D1DC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production alimentaire</w:t>
      </w:r>
      <w:r w:rsidR="00764DC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poursuit s</w:t>
      </w:r>
      <w:r w:rsidR="00590581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a baisse mais est en hausse sur l’année</w:t>
      </w:r>
      <w:r w:rsidR="00764DC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4EE374E8" w14:textId="77777777" w:rsidR="00280C53" w:rsidRPr="00280C53" w:rsidRDefault="00280C53" w:rsidP="00280C53">
      <w:pPr>
        <w:autoSpaceDE w:val="0"/>
        <w:autoSpaceDN w:val="0"/>
        <w:adjustRightInd w:val="0"/>
        <w:jc w:val="both"/>
        <w:rPr>
          <w:rFonts w:ascii="Trebuchet MS" w:hAnsi="Trebuchet MS"/>
          <w:sz w:val="8"/>
          <w:szCs w:val="19"/>
        </w:rPr>
      </w:pPr>
    </w:p>
    <w:p w14:paraId="0708D634" w14:textId="77777777" w:rsidR="006C2E31" w:rsidRDefault="00F03912" w:rsidP="00280C53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Après une baisse </w:t>
      </w:r>
      <w:r w:rsidR="008B3E95" w:rsidRPr="00227E75">
        <w:rPr>
          <w:rFonts w:ascii="Trebuchet MS" w:hAnsi="Trebuchet MS"/>
          <w:sz w:val="19"/>
          <w:szCs w:val="19"/>
        </w:rPr>
        <w:t xml:space="preserve">au </w:t>
      </w:r>
      <w:r w:rsidR="0031090E">
        <w:rPr>
          <w:rFonts w:ascii="Trebuchet MS" w:hAnsi="Trebuchet MS"/>
          <w:sz w:val="19"/>
          <w:szCs w:val="19"/>
        </w:rPr>
        <w:t>3</w:t>
      </w:r>
      <w:r w:rsidR="00764DC7" w:rsidRPr="00227E75">
        <w:rPr>
          <w:rFonts w:ascii="Trebuchet MS" w:hAnsi="Trebuchet MS"/>
          <w:sz w:val="19"/>
          <w:szCs w:val="19"/>
          <w:vertAlign w:val="superscript"/>
        </w:rPr>
        <w:t>ème</w:t>
      </w:r>
      <w:r w:rsidR="006F64B2">
        <w:rPr>
          <w:rFonts w:ascii="Trebuchet MS" w:hAnsi="Trebuchet MS"/>
          <w:sz w:val="19"/>
          <w:szCs w:val="19"/>
          <w:vertAlign w:val="superscript"/>
        </w:rPr>
        <w:t xml:space="preserve"> </w:t>
      </w:r>
      <w:r w:rsidR="008B3E95" w:rsidRPr="00227E75">
        <w:rPr>
          <w:rFonts w:ascii="Trebuchet MS" w:hAnsi="Trebuchet MS"/>
          <w:sz w:val="19"/>
          <w:szCs w:val="19"/>
        </w:rPr>
        <w:t>trimestre 2018, l’industrie alimentaire</w:t>
      </w:r>
      <w:r w:rsidR="006F64B2">
        <w:rPr>
          <w:rFonts w:ascii="Trebuchet MS" w:hAnsi="Trebuchet MS"/>
          <w:sz w:val="19"/>
          <w:szCs w:val="19"/>
        </w:rPr>
        <w:t xml:space="preserve"> </w:t>
      </w:r>
      <w:r w:rsidR="00A7660D">
        <w:rPr>
          <w:rFonts w:ascii="Trebuchet MS" w:hAnsi="Trebuchet MS"/>
          <w:sz w:val="19"/>
          <w:szCs w:val="19"/>
        </w:rPr>
        <w:t>se contracte</w:t>
      </w:r>
      <w:r w:rsidR="006F64B2">
        <w:rPr>
          <w:rFonts w:ascii="Trebuchet MS" w:hAnsi="Trebuchet MS"/>
          <w:sz w:val="19"/>
          <w:szCs w:val="19"/>
        </w:rPr>
        <w:t xml:space="preserve"> </w:t>
      </w:r>
      <w:r w:rsidR="0031090E">
        <w:rPr>
          <w:rFonts w:ascii="Trebuchet MS" w:hAnsi="Trebuchet MS"/>
          <w:sz w:val="19"/>
          <w:szCs w:val="19"/>
        </w:rPr>
        <w:t xml:space="preserve">d’avantage </w:t>
      </w:r>
      <w:r>
        <w:rPr>
          <w:rFonts w:ascii="Trebuchet MS" w:hAnsi="Trebuchet MS"/>
          <w:sz w:val="19"/>
          <w:szCs w:val="19"/>
        </w:rPr>
        <w:t>(-</w:t>
      </w:r>
      <w:r w:rsidR="0031090E">
        <w:rPr>
          <w:rFonts w:ascii="Trebuchet MS" w:hAnsi="Trebuchet MS"/>
          <w:sz w:val="19"/>
          <w:szCs w:val="19"/>
        </w:rPr>
        <w:t>6</w:t>
      </w:r>
      <w:r>
        <w:rPr>
          <w:rFonts w:ascii="Trebuchet MS" w:hAnsi="Trebuchet MS"/>
          <w:sz w:val="19"/>
          <w:szCs w:val="19"/>
        </w:rPr>
        <w:t>,</w:t>
      </w:r>
      <w:r w:rsidR="0031090E">
        <w:rPr>
          <w:rFonts w:ascii="Trebuchet MS" w:hAnsi="Trebuchet MS"/>
          <w:sz w:val="19"/>
          <w:szCs w:val="19"/>
        </w:rPr>
        <w:t>9</w:t>
      </w:r>
      <w:r>
        <w:rPr>
          <w:rFonts w:ascii="Trebuchet MS" w:hAnsi="Trebuchet MS"/>
          <w:sz w:val="19"/>
          <w:szCs w:val="19"/>
        </w:rPr>
        <w:t xml:space="preserve">%) </w:t>
      </w:r>
      <w:r w:rsidR="00955F3C">
        <w:rPr>
          <w:rFonts w:ascii="Trebuchet MS" w:hAnsi="Trebuchet MS"/>
          <w:sz w:val="19"/>
          <w:szCs w:val="19"/>
        </w:rPr>
        <w:t>encore</w:t>
      </w:r>
      <w:r w:rsidR="006F64B2">
        <w:rPr>
          <w:rFonts w:ascii="Trebuchet MS" w:hAnsi="Trebuchet MS"/>
          <w:sz w:val="19"/>
          <w:szCs w:val="19"/>
        </w:rPr>
        <w:t xml:space="preserve"> </w:t>
      </w:r>
      <w:r w:rsidR="008B3E95" w:rsidRPr="00227E75">
        <w:rPr>
          <w:rFonts w:ascii="Trebuchet MS" w:hAnsi="Trebuchet MS"/>
          <w:sz w:val="19"/>
          <w:szCs w:val="19"/>
        </w:rPr>
        <w:t xml:space="preserve">au </w:t>
      </w:r>
      <w:r w:rsidR="0031090E">
        <w:rPr>
          <w:rFonts w:ascii="Trebuchet MS" w:hAnsi="Trebuchet MS"/>
          <w:sz w:val="19"/>
          <w:szCs w:val="19"/>
        </w:rPr>
        <w:t xml:space="preserve">quatrième </w:t>
      </w:r>
      <w:r w:rsidR="008B3E95" w:rsidRPr="00227E75">
        <w:rPr>
          <w:rFonts w:ascii="Trebuchet MS" w:hAnsi="Trebuchet MS"/>
          <w:sz w:val="19"/>
          <w:szCs w:val="19"/>
        </w:rPr>
        <w:t xml:space="preserve">trimestre. </w:t>
      </w:r>
      <w:r w:rsidR="000F3A23" w:rsidRPr="00227E75">
        <w:rPr>
          <w:rFonts w:ascii="Trebuchet MS" w:hAnsi="Trebuchet MS"/>
          <w:sz w:val="19"/>
          <w:szCs w:val="19"/>
        </w:rPr>
        <w:t xml:space="preserve">Cette situation est </w:t>
      </w:r>
      <w:r w:rsidR="003F7282" w:rsidRPr="00227E75">
        <w:rPr>
          <w:rFonts w:ascii="Trebuchet MS" w:hAnsi="Trebuchet MS"/>
          <w:sz w:val="19"/>
          <w:szCs w:val="19"/>
        </w:rPr>
        <w:t xml:space="preserve">imputable au repli observé au niveau </w:t>
      </w:r>
      <w:r>
        <w:rPr>
          <w:rFonts w:ascii="Trebuchet MS" w:hAnsi="Trebuchet MS"/>
          <w:sz w:val="19"/>
          <w:szCs w:val="19"/>
        </w:rPr>
        <w:t xml:space="preserve">de la production </w:t>
      </w:r>
      <w:r w:rsidR="00283DF8">
        <w:rPr>
          <w:rFonts w:ascii="Trebuchet MS" w:hAnsi="Trebuchet MS"/>
          <w:sz w:val="19"/>
          <w:szCs w:val="19"/>
        </w:rPr>
        <w:t>des pâtisseries</w:t>
      </w:r>
      <w:r w:rsidR="000F3A23" w:rsidRPr="00227E75">
        <w:rPr>
          <w:rFonts w:ascii="Trebuchet MS" w:hAnsi="Trebuchet MS"/>
          <w:sz w:val="19"/>
          <w:szCs w:val="19"/>
        </w:rPr>
        <w:t>(-</w:t>
      </w:r>
      <w:r w:rsidR="00283DF8">
        <w:rPr>
          <w:rFonts w:ascii="Trebuchet MS" w:hAnsi="Trebuchet MS"/>
          <w:sz w:val="19"/>
          <w:szCs w:val="19"/>
        </w:rPr>
        <w:t>66</w:t>
      </w:r>
      <w:r w:rsidR="000F3A23" w:rsidRPr="00227E75">
        <w:rPr>
          <w:rFonts w:ascii="Trebuchet MS" w:hAnsi="Trebuchet MS"/>
          <w:sz w:val="19"/>
          <w:szCs w:val="19"/>
        </w:rPr>
        <w:t>,</w:t>
      </w:r>
      <w:r w:rsidR="00283DF8">
        <w:rPr>
          <w:rFonts w:ascii="Trebuchet MS" w:hAnsi="Trebuchet MS"/>
          <w:sz w:val="19"/>
          <w:szCs w:val="19"/>
        </w:rPr>
        <w:t>2</w:t>
      </w:r>
      <w:r w:rsidR="000F3A23" w:rsidRPr="00227E75">
        <w:rPr>
          <w:rFonts w:ascii="Trebuchet MS" w:hAnsi="Trebuchet MS"/>
          <w:sz w:val="19"/>
          <w:szCs w:val="19"/>
        </w:rPr>
        <w:t xml:space="preserve">%), </w:t>
      </w:r>
      <w:r w:rsidR="00825178">
        <w:rPr>
          <w:rFonts w:ascii="Trebuchet MS" w:hAnsi="Trebuchet MS"/>
          <w:sz w:val="19"/>
          <w:szCs w:val="19"/>
        </w:rPr>
        <w:t>de la bière (-</w:t>
      </w:r>
      <w:r w:rsidR="00283DF8">
        <w:rPr>
          <w:rFonts w:ascii="Trebuchet MS" w:hAnsi="Trebuchet MS"/>
          <w:sz w:val="19"/>
          <w:szCs w:val="19"/>
        </w:rPr>
        <w:t>5</w:t>
      </w:r>
      <w:r w:rsidR="00825178">
        <w:rPr>
          <w:rFonts w:ascii="Trebuchet MS" w:hAnsi="Trebuchet MS"/>
          <w:sz w:val="19"/>
          <w:szCs w:val="19"/>
        </w:rPr>
        <w:t>,</w:t>
      </w:r>
      <w:r w:rsidR="00283DF8">
        <w:rPr>
          <w:rFonts w:ascii="Trebuchet MS" w:hAnsi="Trebuchet MS"/>
          <w:sz w:val="19"/>
          <w:szCs w:val="19"/>
        </w:rPr>
        <w:t>2</w:t>
      </w:r>
      <w:r w:rsidR="00825178">
        <w:rPr>
          <w:rFonts w:ascii="Trebuchet MS" w:hAnsi="Trebuchet MS"/>
          <w:sz w:val="19"/>
          <w:szCs w:val="19"/>
        </w:rPr>
        <w:t xml:space="preserve">%), </w:t>
      </w:r>
      <w:r w:rsidR="00283DF8">
        <w:rPr>
          <w:rFonts w:ascii="Trebuchet MS" w:hAnsi="Trebuchet MS"/>
          <w:sz w:val="19"/>
          <w:szCs w:val="19"/>
        </w:rPr>
        <w:t>de l’eau minérale</w:t>
      </w:r>
      <w:r w:rsidR="000F3A23" w:rsidRPr="00227E75">
        <w:rPr>
          <w:rFonts w:ascii="Trebuchet MS" w:hAnsi="Trebuchet MS"/>
          <w:sz w:val="19"/>
          <w:szCs w:val="19"/>
        </w:rPr>
        <w:t xml:space="preserve"> (-3</w:t>
      </w:r>
      <w:r w:rsidR="00283DF8">
        <w:rPr>
          <w:rFonts w:ascii="Trebuchet MS" w:hAnsi="Trebuchet MS"/>
          <w:sz w:val="19"/>
          <w:szCs w:val="19"/>
        </w:rPr>
        <w:t>9</w:t>
      </w:r>
      <w:r w:rsidR="003F7282" w:rsidRPr="00227E75">
        <w:rPr>
          <w:rFonts w:ascii="Trebuchet MS" w:hAnsi="Trebuchet MS"/>
          <w:sz w:val="19"/>
          <w:szCs w:val="19"/>
        </w:rPr>
        <w:t>,</w:t>
      </w:r>
      <w:r w:rsidR="00283DF8">
        <w:rPr>
          <w:rFonts w:ascii="Trebuchet MS" w:hAnsi="Trebuchet MS"/>
          <w:sz w:val="19"/>
          <w:szCs w:val="19"/>
        </w:rPr>
        <w:t>9</w:t>
      </w:r>
      <w:r w:rsidR="000F3A23" w:rsidRPr="00227E75">
        <w:rPr>
          <w:rFonts w:ascii="Trebuchet MS" w:hAnsi="Trebuchet MS"/>
          <w:sz w:val="19"/>
          <w:szCs w:val="19"/>
        </w:rPr>
        <w:t>%) et d</w:t>
      </w:r>
      <w:r w:rsidR="003F7282" w:rsidRPr="00227E75">
        <w:rPr>
          <w:rFonts w:ascii="Trebuchet MS" w:hAnsi="Trebuchet MS"/>
          <w:sz w:val="19"/>
          <w:szCs w:val="19"/>
        </w:rPr>
        <w:t xml:space="preserve">u </w:t>
      </w:r>
      <w:proofErr w:type="spellStart"/>
      <w:r w:rsidR="003F7282" w:rsidRPr="00227E75">
        <w:rPr>
          <w:rFonts w:ascii="Trebuchet MS" w:hAnsi="Trebuchet MS"/>
          <w:sz w:val="19"/>
          <w:szCs w:val="19"/>
        </w:rPr>
        <w:t>Gritz</w:t>
      </w:r>
      <w:proofErr w:type="spellEnd"/>
      <w:r w:rsidR="003F7282" w:rsidRPr="00227E75">
        <w:rPr>
          <w:rFonts w:ascii="Trebuchet MS" w:hAnsi="Trebuchet MS"/>
          <w:sz w:val="19"/>
          <w:szCs w:val="19"/>
        </w:rPr>
        <w:t xml:space="preserve"> </w:t>
      </w:r>
      <w:r w:rsidR="00227E75">
        <w:rPr>
          <w:rFonts w:ascii="Trebuchet MS" w:hAnsi="Trebuchet MS"/>
          <w:sz w:val="19"/>
          <w:szCs w:val="19"/>
        </w:rPr>
        <w:t xml:space="preserve">de maïs </w:t>
      </w:r>
      <w:r w:rsidR="000F3A23" w:rsidRPr="00227E75">
        <w:rPr>
          <w:rFonts w:ascii="Trebuchet MS" w:hAnsi="Trebuchet MS"/>
          <w:sz w:val="19"/>
          <w:szCs w:val="19"/>
        </w:rPr>
        <w:t>(-</w:t>
      </w:r>
      <w:r w:rsidR="00283DF8">
        <w:rPr>
          <w:rFonts w:ascii="Trebuchet MS" w:hAnsi="Trebuchet MS"/>
          <w:sz w:val="19"/>
          <w:szCs w:val="19"/>
        </w:rPr>
        <w:t>3</w:t>
      </w:r>
      <w:r w:rsidR="000F3A23" w:rsidRPr="00227E75">
        <w:rPr>
          <w:rFonts w:ascii="Trebuchet MS" w:hAnsi="Trebuchet MS"/>
          <w:sz w:val="19"/>
          <w:szCs w:val="19"/>
        </w:rPr>
        <w:t>,</w:t>
      </w:r>
      <w:r w:rsidR="00283DF8">
        <w:rPr>
          <w:rFonts w:ascii="Trebuchet MS" w:hAnsi="Trebuchet MS"/>
          <w:sz w:val="19"/>
          <w:szCs w:val="19"/>
        </w:rPr>
        <w:t>7</w:t>
      </w:r>
      <w:r w:rsidR="000F3A23" w:rsidRPr="00227E75">
        <w:rPr>
          <w:rFonts w:ascii="Trebuchet MS" w:hAnsi="Trebuchet MS"/>
          <w:sz w:val="19"/>
          <w:szCs w:val="19"/>
        </w:rPr>
        <w:t>%)</w:t>
      </w:r>
      <w:r w:rsidR="003404C4">
        <w:rPr>
          <w:rFonts w:ascii="Trebuchet MS" w:hAnsi="Trebuchet MS"/>
          <w:sz w:val="19"/>
          <w:szCs w:val="19"/>
        </w:rPr>
        <w:t xml:space="preserve">, </w:t>
      </w:r>
      <w:r w:rsidR="00EE24F5" w:rsidRPr="00227E75">
        <w:rPr>
          <w:rFonts w:ascii="Trebuchet MS" w:hAnsi="Trebuchet MS"/>
          <w:sz w:val="19"/>
          <w:szCs w:val="19"/>
        </w:rPr>
        <w:t>malgré l</w:t>
      </w:r>
      <w:r w:rsidR="003404C4">
        <w:rPr>
          <w:rFonts w:ascii="Trebuchet MS" w:hAnsi="Trebuchet MS"/>
          <w:sz w:val="19"/>
          <w:szCs w:val="19"/>
        </w:rPr>
        <w:t>es</w:t>
      </w:r>
      <w:r w:rsidR="006F64B2">
        <w:rPr>
          <w:rFonts w:ascii="Trebuchet MS" w:hAnsi="Trebuchet MS"/>
          <w:sz w:val="19"/>
          <w:szCs w:val="19"/>
        </w:rPr>
        <w:t xml:space="preserve"> </w:t>
      </w:r>
      <w:r w:rsidR="003F7282" w:rsidRPr="00227E75">
        <w:rPr>
          <w:rFonts w:ascii="Trebuchet MS" w:hAnsi="Trebuchet MS"/>
          <w:sz w:val="19"/>
          <w:szCs w:val="19"/>
        </w:rPr>
        <w:t>hausse</w:t>
      </w:r>
      <w:r w:rsidR="003404C4">
        <w:rPr>
          <w:rFonts w:ascii="Trebuchet MS" w:hAnsi="Trebuchet MS"/>
          <w:sz w:val="19"/>
          <w:szCs w:val="19"/>
        </w:rPr>
        <w:t>s</w:t>
      </w:r>
      <w:r w:rsidR="00283DF8">
        <w:rPr>
          <w:rFonts w:ascii="Trebuchet MS" w:hAnsi="Trebuchet MS"/>
          <w:sz w:val="19"/>
          <w:szCs w:val="19"/>
        </w:rPr>
        <w:t xml:space="preserve"> de 25</w:t>
      </w:r>
      <w:r w:rsidR="003F7282" w:rsidRPr="00227E75">
        <w:rPr>
          <w:rFonts w:ascii="Trebuchet MS" w:hAnsi="Trebuchet MS"/>
          <w:sz w:val="19"/>
          <w:szCs w:val="19"/>
        </w:rPr>
        <w:t>,</w:t>
      </w:r>
      <w:r w:rsidR="00283DF8">
        <w:rPr>
          <w:rFonts w:ascii="Trebuchet MS" w:hAnsi="Trebuchet MS"/>
          <w:sz w:val="19"/>
          <w:szCs w:val="19"/>
        </w:rPr>
        <w:t>6</w:t>
      </w:r>
      <w:r w:rsidR="003F7282" w:rsidRPr="00227E75">
        <w:rPr>
          <w:rFonts w:ascii="Trebuchet MS" w:hAnsi="Trebuchet MS"/>
          <w:sz w:val="19"/>
          <w:szCs w:val="19"/>
        </w:rPr>
        <w:t xml:space="preserve">% et de </w:t>
      </w:r>
      <w:r w:rsidR="00283DF8">
        <w:rPr>
          <w:rFonts w:ascii="Trebuchet MS" w:hAnsi="Trebuchet MS"/>
          <w:sz w:val="19"/>
          <w:szCs w:val="19"/>
        </w:rPr>
        <w:t>40</w:t>
      </w:r>
      <w:r w:rsidR="003F7282" w:rsidRPr="00227E75">
        <w:rPr>
          <w:rFonts w:ascii="Trebuchet MS" w:hAnsi="Trebuchet MS"/>
          <w:sz w:val="19"/>
          <w:szCs w:val="19"/>
        </w:rPr>
        <w:t>,</w:t>
      </w:r>
      <w:r w:rsidR="00283DF8">
        <w:rPr>
          <w:rFonts w:ascii="Trebuchet MS" w:hAnsi="Trebuchet MS"/>
          <w:sz w:val="19"/>
          <w:szCs w:val="19"/>
        </w:rPr>
        <w:t>5</w:t>
      </w:r>
      <w:r w:rsidR="003F7282" w:rsidRPr="00227E75">
        <w:rPr>
          <w:rFonts w:ascii="Trebuchet MS" w:hAnsi="Trebuchet MS"/>
          <w:sz w:val="19"/>
          <w:szCs w:val="19"/>
        </w:rPr>
        <w:t>%</w:t>
      </w:r>
      <w:r w:rsidR="003404C4">
        <w:rPr>
          <w:rFonts w:ascii="Trebuchet MS" w:hAnsi="Trebuchet MS"/>
          <w:sz w:val="19"/>
          <w:szCs w:val="19"/>
        </w:rPr>
        <w:t xml:space="preserve"> notées</w:t>
      </w:r>
      <w:r w:rsidR="003F7282" w:rsidRPr="00227E75">
        <w:rPr>
          <w:rFonts w:ascii="Trebuchet MS" w:hAnsi="Trebuchet MS"/>
          <w:sz w:val="19"/>
          <w:szCs w:val="19"/>
        </w:rPr>
        <w:t xml:space="preserve"> respectivement</w:t>
      </w:r>
      <w:r w:rsidR="00EE24F5" w:rsidRPr="00227E75">
        <w:rPr>
          <w:rFonts w:ascii="Trebuchet MS" w:hAnsi="Trebuchet MS"/>
          <w:sz w:val="19"/>
          <w:szCs w:val="19"/>
        </w:rPr>
        <w:t xml:space="preserve"> de la fabrication </w:t>
      </w:r>
      <w:r w:rsidR="00283DF8">
        <w:rPr>
          <w:rFonts w:ascii="Trebuchet MS" w:hAnsi="Trebuchet MS"/>
          <w:sz w:val="19"/>
          <w:szCs w:val="19"/>
        </w:rPr>
        <w:t>du pain</w:t>
      </w:r>
      <w:r w:rsidR="003F7282" w:rsidRPr="00227E75">
        <w:rPr>
          <w:rFonts w:ascii="Trebuchet MS" w:hAnsi="Trebuchet MS"/>
          <w:sz w:val="19"/>
          <w:szCs w:val="19"/>
        </w:rPr>
        <w:t xml:space="preserve"> et de</w:t>
      </w:r>
      <w:r w:rsidR="00FE3489" w:rsidRPr="00227E75">
        <w:rPr>
          <w:rFonts w:ascii="Trebuchet MS" w:hAnsi="Trebuchet MS"/>
          <w:sz w:val="19"/>
          <w:szCs w:val="19"/>
        </w:rPr>
        <w:t>s</w:t>
      </w:r>
      <w:r w:rsidR="006F64B2">
        <w:rPr>
          <w:rFonts w:ascii="Trebuchet MS" w:hAnsi="Trebuchet MS"/>
          <w:sz w:val="19"/>
          <w:szCs w:val="19"/>
        </w:rPr>
        <w:t xml:space="preserve"> </w:t>
      </w:r>
      <w:r w:rsidR="00283DF8">
        <w:rPr>
          <w:rFonts w:ascii="Trebuchet MS" w:hAnsi="Trebuchet MS"/>
          <w:sz w:val="19"/>
          <w:szCs w:val="19"/>
        </w:rPr>
        <w:t>boissons non alcoolisées</w:t>
      </w:r>
      <w:r w:rsidR="00280C53">
        <w:rPr>
          <w:rFonts w:ascii="Trebuchet MS" w:hAnsi="Trebuchet MS"/>
          <w:sz w:val="19"/>
          <w:szCs w:val="19"/>
        </w:rPr>
        <w:t xml:space="preserve">. </w:t>
      </w:r>
      <w:r w:rsidR="00FE3489" w:rsidRPr="00227E75">
        <w:rPr>
          <w:rFonts w:ascii="Trebuchet MS" w:hAnsi="Trebuchet MS"/>
          <w:sz w:val="19"/>
          <w:szCs w:val="19"/>
        </w:rPr>
        <w:t>Toutefois, e</w:t>
      </w:r>
      <w:r w:rsidR="005D1DC3" w:rsidRPr="00227E75">
        <w:rPr>
          <w:rFonts w:ascii="Trebuchet MS" w:hAnsi="Trebuchet MS"/>
          <w:sz w:val="19"/>
          <w:szCs w:val="19"/>
        </w:rPr>
        <w:t>n glissement annuel</w:t>
      </w:r>
      <w:r w:rsidR="00FE3489" w:rsidRPr="00227E75">
        <w:rPr>
          <w:rFonts w:ascii="Trebuchet MS" w:hAnsi="Trebuchet MS"/>
          <w:sz w:val="19"/>
          <w:szCs w:val="19"/>
        </w:rPr>
        <w:t>, on note un</w:t>
      </w:r>
      <w:r w:rsidR="006F64B2">
        <w:rPr>
          <w:rFonts w:ascii="Trebuchet MS" w:hAnsi="Trebuchet MS"/>
          <w:sz w:val="19"/>
          <w:szCs w:val="19"/>
        </w:rPr>
        <w:t xml:space="preserve"> </w:t>
      </w:r>
      <w:r w:rsidR="00FE3489" w:rsidRPr="00227E75">
        <w:rPr>
          <w:rFonts w:ascii="Trebuchet MS" w:hAnsi="Trebuchet MS"/>
          <w:sz w:val="19"/>
          <w:szCs w:val="19"/>
        </w:rPr>
        <w:t>regain considérable</w:t>
      </w:r>
      <w:r w:rsidR="005D1DC3" w:rsidRPr="00227E75">
        <w:rPr>
          <w:rFonts w:ascii="Trebuchet MS" w:hAnsi="Trebuchet MS"/>
          <w:sz w:val="19"/>
          <w:szCs w:val="19"/>
        </w:rPr>
        <w:t xml:space="preserve"> de la production alimentaire (</w:t>
      </w:r>
      <w:r w:rsidR="00FE3489" w:rsidRPr="00227E75">
        <w:rPr>
          <w:rFonts w:ascii="Trebuchet MS" w:hAnsi="Trebuchet MS"/>
          <w:sz w:val="19"/>
          <w:szCs w:val="19"/>
        </w:rPr>
        <w:t>+4</w:t>
      </w:r>
      <w:r w:rsidR="005D1DC3" w:rsidRPr="00227E75">
        <w:rPr>
          <w:rFonts w:ascii="Trebuchet MS" w:hAnsi="Trebuchet MS"/>
          <w:sz w:val="19"/>
          <w:szCs w:val="19"/>
        </w:rPr>
        <w:t>,</w:t>
      </w:r>
      <w:r w:rsidR="00094FB9">
        <w:rPr>
          <w:rFonts w:ascii="Trebuchet MS" w:hAnsi="Trebuchet MS"/>
          <w:sz w:val="19"/>
          <w:szCs w:val="19"/>
        </w:rPr>
        <w:t>6</w:t>
      </w:r>
      <w:r w:rsidR="005D1DC3" w:rsidRPr="00227E75">
        <w:rPr>
          <w:rFonts w:ascii="Trebuchet MS" w:hAnsi="Trebuchet MS"/>
          <w:sz w:val="19"/>
          <w:szCs w:val="19"/>
        </w:rPr>
        <w:t>%)</w:t>
      </w:r>
      <w:r w:rsidR="006C2E31" w:rsidRPr="00227E75">
        <w:rPr>
          <w:rFonts w:ascii="Trebuchet MS" w:hAnsi="Trebuchet MS"/>
          <w:sz w:val="19"/>
          <w:szCs w:val="19"/>
        </w:rPr>
        <w:t xml:space="preserve">. Ceci s’explique notamment par la hausse en glissement annuel de la production </w:t>
      </w:r>
      <w:r w:rsidR="00227E75">
        <w:rPr>
          <w:rFonts w:ascii="Trebuchet MS" w:hAnsi="Trebuchet MS"/>
          <w:sz w:val="19"/>
          <w:szCs w:val="19"/>
        </w:rPr>
        <w:t xml:space="preserve">des </w:t>
      </w:r>
      <w:r w:rsidR="006C2E31" w:rsidRPr="00227E75">
        <w:rPr>
          <w:rFonts w:ascii="Trebuchet MS" w:hAnsi="Trebuchet MS"/>
          <w:sz w:val="19"/>
          <w:szCs w:val="19"/>
        </w:rPr>
        <w:t xml:space="preserve">boissons </w:t>
      </w:r>
      <w:r w:rsidR="00227E75">
        <w:rPr>
          <w:rFonts w:ascii="Trebuchet MS" w:hAnsi="Trebuchet MS"/>
          <w:sz w:val="19"/>
          <w:szCs w:val="19"/>
        </w:rPr>
        <w:t>(+8,</w:t>
      </w:r>
      <w:r w:rsidR="00094FB9">
        <w:rPr>
          <w:rFonts w:ascii="Trebuchet MS" w:hAnsi="Trebuchet MS"/>
          <w:sz w:val="19"/>
          <w:szCs w:val="19"/>
        </w:rPr>
        <w:t>6</w:t>
      </w:r>
      <w:r w:rsidR="006C2E31" w:rsidRPr="00227E75">
        <w:rPr>
          <w:rFonts w:ascii="Trebuchet MS" w:hAnsi="Trebuchet MS"/>
          <w:sz w:val="19"/>
          <w:szCs w:val="19"/>
        </w:rPr>
        <w:t>%</w:t>
      </w:r>
      <w:r w:rsidR="00227E75">
        <w:rPr>
          <w:rFonts w:ascii="Trebuchet MS" w:hAnsi="Trebuchet MS"/>
          <w:sz w:val="19"/>
          <w:szCs w:val="19"/>
        </w:rPr>
        <w:t>)</w:t>
      </w:r>
      <w:r w:rsidR="006C2E31" w:rsidRPr="00227E75">
        <w:rPr>
          <w:rFonts w:ascii="Trebuchet MS" w:hAnsi="Trebuchet MS"/>
          <w:iCs/>
          <w:sz w:val="19"/>
          <w:szCs w:val="19"/>
        </w:rPr>
        <w:t xml:space="preserve">. </w:t>
      </w:r>
    </w:p>
    <w:p w14:paraId="790E4E45" w14:textId="312F3735" w:rsidR="00280C53" w:rsidRDefault="00280C53" w:rsidP="00280C53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Par rapport à l’année précédente l’activité dans </w:t>
      </w:r>
      <w:r w:rsidR="00B87147">
        <w:rPr>
          <w:rFonts w:ascii="Trebuchet MS" w:hAnsi="Trebuchet MS"/>
          <w:sz w:val="19"/>
          <w:szCs w:val="19"/>
        </w:rPr>
        <w:t>l’industrie alimentaire</w:t>
      </w:r>
      <w:r>
        <w:rPr>
          <w:rFonts w:ascii="Trebuchet MS" w:hAnsi="Trebuchet MS"/>
          <w:sz w:val="19"/>
          <w:szCs w:val="19"/>
        </w:rPr>
        <w:t xml:space="preserve"> a enregistré en moyenne annuelle une croissance de 11,5% en 2018.</w:t>
      </w:r>
    </w:p>
    <w:p w14:paraId="34DDB4EA" w14:textId="77777777" w:rsidR="00280C53" w:rsidRDefault="00280C53" w:rsidP="00280C53">
      <w:pPr>
        <w:jc w:val="both"/>
        <w:rPr>
          <w:rFonts w:ascii="Trebuchet MS" w:hAnsi="Trebuchet MS"/>
          <w:sz w:val="19"/>
          <w:szCs w:val="19"/>
        </w:rPr>
      </w:pPr>
    </w:p>
    <w:p w14:paraId="3872349F" w14:textId="77777777" w:rsidR="005D1DC3" w:rsidRPr="00DA7223" w:rsidRDefault="005D1DC3" w:rsidP="005D1DC3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</w:p>
    <w:p w14:paraId="105999C5" w14:textId="77777777" w:rsidR="005D1DC3" w:rsidRPr="00643A19" w:rsidRDefault="005D1DC3" w:rsidP="005D1DC3">
      <w:pPr>
        <w:tabs>
          <w:tab w:val="left" w:pos="284"/>
        </w:tabs>
        <w:autoSpaceDE w:val="0"/>
        <w:autoSpaceDN w:val="0"/>
        <w:adjustRightInd w:val="0"/>
        <w:jc w:val="both"/>
        <w:rPr>
          <w:rFonts w:ascii="Trebuchet MS" w:hAnsi="Trebuchet MS"/>
          <w:sz w:val="8"/>
          <w:szCs w:val="19"/>
        </w:rPr>
      </w:pPr>
    </w:p>
    <w:p w14:paraId="586CE485" w14:textId="77777777" w:rsidR="005D1DC3" w:rsidRDefault="00643A19" w:rsidP="005D1DC3">
      <w:pPr>
        <w:spacing w:line="276" w:lineRule="auto"/>
        <w:jc w:val="right"/>
      </w:pPr>
      <w:r>
        <w:rPr>
          <w:noProof/>
          <w:lang w:bidi="ar-SA"/>
        </w:rPr>
        <w:drawing>
          <wp:inline distT="0" distB="0" distL="0" distR="0" wp14:anchorId="5B7B687F" wp14:editId="2864C926">
            <wp:extent cx="2933700" cy="2094230"/>
            <wp:effectExtent l="0" t="0" r="0" b="127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487A6DE" w14:textId="77777777" w:rsidR="005D1DC3" w:rsidRPr="006E1F40" w:rsidRDefault="005D1DC3" w:rsidP="005D1DC3">
      <w:pPr>
        <w:jc w:val="both"/>
        <w:rPr>
          <w:color w:val="FF6600"/>
          <w:sz w:val="20"/>
          <w:szCs w:val="20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>
        <w:rPr>
          <w:rFonts w:ascii="Trebuchet MS" w:hAnsi="Trebuchet MS"/>
          <w:sz w:val="16"/>
          <w:szCs w:val="16"/>
        </w:rPr>
        <w:t> : INSAE/</w:t>
      </w:r>
      <w:r w:rsidRPr="00FB7585">
        <w:rPr>
          <w:rFonts w:ascii="Trebuchet MS" w:hAnsi="Trebuchet MS"/>
          <w:sz w:val="16"/>
          <w:szCs w:val="16"/>
        </w:rPr>
        <w:t>DSEE</w:t>
      </w:r>
    </w:p>
    <w:p w14:paraId="431989B6" w14:textId="77777777" w:rsidR="005D1DC3" w:rsidRDefault="005D1DC3" w:rsidP="005D1DC3">
      <w:pPr>
        <w:jc w:val="both"/>
        <w:rPr>
          <w:color w:val="FF6600"/>
          <w:sz w:val="20"/>
          <w:szCs w:val="20"/>
        </w:rPr>
      </w:pPr>
    </w:p>
    <w:p w14:paraId="45C4D6A5" w14:textId="77777777" w:rsidR="00C33C1E" w:rsidRDefault="00C33C1E" w:rsidP="005D1DC3">
      <w:pPr>
        <w:jc w:val="both"/>
        <w:rPr>
          <w:color w:val="FF6600"/>
          <w:sz w:val="20"/>
          <w:szCs w:val="20"/>
        </w:rPr>
      </w:pPr>
    </w:p>
    <w:p w14:paraId="2B6B5561" w14:textId="77777777" w:rsidR="004F43D6" w:rsidRDefault="004F43D6" w:rsidP="005D1DC3">
      <w:pPr>
        <w:jc w:val="both"/>
        <w:rPr>
          <w:color w:val="FF6600"/>
          <w:sz w:val="20"/>
          <w:szCs w:val="20"/>
        </w:rPr>
      </w:pPr>
    </w:p>
    <w:p w14:paraId="4FB7311F" w14:textId="77777777" w:rsidR="004F43D6" w:rsidRDefault="004F43D6" w:rsidP="005D1DC3">
      <w:pPr>
        <w:jc w:val="both"/>
        <w:rPr>
          <w:color w:val="FF6600"/>
          <w:sz w:val="20"/>
          <w:szCs w:val="20"/>
        </w:rPr>
        <w:sectPr w:rsidR="004F43D6" w:rsidSect="00B73A26">
          <w:pgSz w:w="11906" w:h="16838"/>
          <w:pgMar w:top="1418" w:right="1106" w:bottom="1418" w:left="851" w:header="720" w:footer="284" w:gutter="0"/>
          <w:cols w:num="2" w:space="709"/>
          <w:titlePg/>
        </w:sectPr>
      </w:pPr>
    </w:p>
    <w:p w14:paraId="41E445A8" w14:textId="77777777" w:rsidR="009B3187" w:rsidRPr="00400CCD" w:rsidRDefault="009B3187" w:rsidP="009B3187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</w:t>
      </w:r>
      <w:r w:rsidR="00D211E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a production de </w:t>
      </w:r>
      <w:r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textile</w:t>
      </w:r>
      <w:r w:rsidR="006F64B2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D211E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ra</w:t>
      </w:r>
      <w:r w:rsidR="003D3BF3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lenti</w:t>
      </w:r>
      <w:r w:rsidRPr="0031166A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6D511E3D" w14:textId="77777777" w:rsidR="005D1DC3" w:rsidRPr="000A58EB" w:rsidRDefault="005D1DC3" w:rsidP="005D1DC3">
      <w:pPr>
        <w:jc w:val="both"/>
        <w:rPr>
          <w:rFonts w:ascii="Trebuchet MS" w:hAnsi="Trebuchet MS"/>
          <w:iCs/>
          <w:sz w:val="8"/>
          <w:szCs w:val="19"/>
        </w:rPr>
      </w:pPr>
    </w:p>
    <w:p w14:paraId="5C01ECB1" w14:textId="77777777" w:rsidR="009B3187" w:rsidRDefault="009B3187" w:rsidP="009B3187">
      <w:pPr>
        <w:jc w:val="both"/>
        <w:rPr>
          <w:rFonts w:ascii="Trebuchet MS" w:hAnsi="Trebuchet MS"/>
          <w:iCs/>
          <w:sz w:val="19"/>
          <w:szCs w:val="19"/>
        </w:rPr>
      </w:pPr>
      <w:r w:rsidRPr="003F0CF9">
        <w:rPr>
          <w:rFonts w:ascii="Trebuchet MS" w:hAnsi="Trebuchet MS"/>
          <w:iCs/>
          <w:sz w:val="19"/>
          <w:szCs w:val="19"/>
        </w:rPr>
        <w:t xml:space="preserve">Après avoir enregistré une </w:t>
      </w:r>
      <w:r w:rsidR="00D211E3">
        <w:rPr>
          <w:rFonts w:ascii="Trebuchet MS" w:hAnsi="Trebuchet MS"/>
          <w:iCs/>
          <w:sz w:val="19"/>
          <w:szCs w:val="19"/>
        </w:rPr>
        <w:t xml:space="preserve">forte croissance </w:t>
      </w:r>
      <w:r>
        <w:rPr>
          <w:rFonts w:ascii="Trebuchet MS" w:hAnsi="Trebuchet MS"/>
          <w:iCs/>
          <w:sz w:val="19"/>
          <w:szCs w:val="19"/>
        </w:rPr>
        <w:t>remontée</w:t>
      </w:r>
      <w:r w:rsidRPr="003F0CF9">
        <w:rPr>
          <w:rFonts w:ascii="Trebuchet MS" w:hAnsi="Trebuchet MS"/>
          <w:iCs/>
          <w:sz w:val="19"/>
          <w:szCs w:val="19"/>
        </w:rPr>
        <w:t xml:space="preserve"> de </w:t>
      </w:r>
      <w:r>
        <w:rPr>
          <w:rFonts w:ascii="Trebuchet MS" w:hAnsi="Trebuchet MS"/>
          <w:iCs/>
          <w:sz w:val="19"/>
          <w:szCs w:val="19"/>
        </w:rPr>
        <w:t>1</w:t>
      </w:r>
      <w:r w:rsidR="00D211E3">
        <w:rPr>
          <w:rFonts w:ascii="Trebuchet MS" w:hAnsi="Trebuchet MS"/>
          <w:iCs/>
          <w:sz w:val="19"/>
          <w:szCs w:val="19"/>
        </w:rPr>
        <w:t>7</w:t>
      </w:r>
      <w:r w:rsidRPr="003F0CF9">
        <w:rPr>
          <w:rFonts w:ascii="Trebuchet MS" w:hAnsi="Trebuchet MS"/>
          <w:iCs/>
          <w:sz w:val="19"/>
          <w:szCs w:val="19"/>
        </w:rPr>
        <w:t>,</w:t>
      </w:r>
      <w:r>
        <w:rPr>
          <w:rFonts w:ascii="Trebuchet MS" w:hAnsi="Trebuchet MS"/>
          <w:iCs/>
          <w:sz w:val="19"/>
          <w:szCs w:val="19"/>
        </w:rPr>
        <w:t>5</w:t>
      </w:r>
      <w:r w:rsidRPr="003F0CF9">
        <w:rPr>
          <w:rFonts w:ascii="Trebuchet MS" w:hAnsi="Trebuchet MS"/>
          <w:iCs/>
          <w:sz w:val="19"/>
          <w:szCs w:val="19"/>
        </w:rPr>
        <w:t xml:space="preserve">% au </w:t>
      </w:r>
      <w:r w:rsidR="00D211E3">
        <w:rPr>
          <w:rFonts w:ascii="Trebuchet MS" w:hAnsi="Trebuchet MS"/>
          <w:iCs/>
          <w:sz w:val="19"/>
          <w:szCs w:val="19"/>
        </w:rPr>
        <w:t>troisième</w:t>
      </w:r>
      <w:r w:rsidRPr="003F0CF9">
        <w:rPr>
          <w:rFonts w:ascii="Trebuchet MS" w:hAnsi="Trebuchet MS"/>
          <w:iCs/>
          <w:sz w:val="19"/>
          <w:szCs w:val="19"/>
        </w:rPr>
        <w:t xml:space="preserve"> trimestre 20</w:t>
      </w:r>
      <w:r>
        <w:rPr>
          <w:rFonts w:ascii="Trebuchet MS" w:hAnsi="Trebuchet MS"/>
          <w:iCs/>
          <w:sz w:val="19"/>
          <w:szCs w:val="19"/>
        </w:rPr>
        <w:t>18</w:t>
      </w:r>
      <w:r w:rsidRPr="003F0CF9">
        <w:rPr>
          <w:rFonts w:ascii="Trebuchet MS" w:hAnsi="Trebuchet MS"/>
          <w:iCs/>
          <w:sz w:val="19"/>
          <w:szCs w:val="19"/>
        </w:rPr>
        <w:t xml:space="preserve">, la production de textile a </w:t>
      </w:r>
      <w:r w:rsidR="00D211E3">
        <w:rPr>
          <w:rFonts w:ascii="Trebuchet MS" w:hAnsi="Trebuchet MS"/>
          <w:iCs/>
          <w:sz w:val="19"/>
          <w:szCs w:val="19"/>
        </w:rPr>
        <w:t>subi au quatrième trimestre 2018 un recul non négl</w:t>
      </w:r>
      <w:r w:rsidR="00C86E8B">
        <w:rPr>
          <w:rFonts w:ascii="Trebuchet MS" w:hAnsi="Trebuchet MS"/>
          <w:iCs/>
          <w:sz w:val="19"/>
          <w:szCs w:val="19"/>
        </w:rPr>
        <w:t>ig</w:t>
      </w:r>
      <w:r w:rsidR="00D211E3">
        <w:rPr>
          <w:rFonts w:ascii="Trebuchet MS" w:hAnsi="Trebuchet MS"/>
          <w:iCs/>
          <w:sz w:val="19"/>
          <w:szCs w:val="19"/>
        </w:rPr>
        <w:t>eable de ses activités</w:t>
      </w:r>
      <w:r w:rsidRPr="003F0CF9">
        <w:rPr>
          <w:rFonts w:ascii="Trebuchet MS" w:hAnsi="Trebuchet MS"/>
          <w:iCs/>
          <w:sz w:val="19"/>
          <w:szCs w:val="19"/>
        </w:rPr>
        <w:t xml:space="preserve">. En effet, on a noté une </w:t>
      </w:r>
      <w:r w:rsidR="00D12C6D">
        <w:rPr>
          <w:rFonts w:ascii="Trebuchet MS" w:hAnsi="Trebuchet MS"/>
          <w:iCs/>
          <w:sz w:val="19"/>
          <w:szCs w:val="19"/>
        </w:rPr>
        <w:t>dépression</w:t>
      </w:r>
      <w:r w:rsidR="006F64B2">
        <w:rPr>
          <w:rFonts w:ascii="Trebuchet MS" w:hAnsi="Trebuchet MS"/>
          <w:iCs/>
          <w:sz w:val="19"/>
          <w:szCs w:val="19"/>
        </w:rPr>
        <w:t xml:space="preserve"> </w:t>
      </w:r>
      <w:r w:rsidR="00D12C6D" w:rsidRPr="003F0CF9">
        <w:rPr>
          <w:rFonts w:ascii="Trebuchet MS" w:hAnsi="Trebuchet MS"/>
          <w:iCs/>
          <w:sz w:val="19"/>
          <w:szCs w:val="19"/>
        </w:rPr>
        <w:t>en glissement trimestriel</w:t>
      </w:r>
      <w:r w:rsidR="006F64B2">
        <w:rPr>
          <w:rFonts w:ascii="Trebuchet MS" w:hAnsi="Trebuchet MS"/>
          <w:iCs/>
          <w:sz w:val="19"/>
          <w:szCs w:val="19"/>
        </w:rPr>
        <w:t xml:space="preserve"> </w:t>
      </w:r>
      <w:r w:rsidRPr="003F0CF9">
        <w:rPr>
          <w:rFonts w:ascii="Trebuchet MS" w:hAnsi="Trebuchet MS"/>
          <w:iCs/>
          <w:sz w:val="19"/>
          <w:szCs w:val="19"/>
        </w:rPr>
        <w:t xml:space="preserve">de </w:t>
      </w:r>
      <w:r w:rsidR="00CE72D3">
        <w:rPr>
          <w:rFonts w:ascii="Trebuchet MS" w:hAnsi="Trebuchet MS"/>
          <w:iCs/>
          <w:sz w:val="19"/>
          <w:szCs w:val="19"/>
        </w:rPr>
        <w:t>1</w:t>
      </w:r>
      <w:r w:rsidR="00D12C6D">
        <w:rPr>
          <w:rFonts w:ascii="Trebuchet MS" w:hAnsi="Trebuchet MS"/>
          <w:iCs/>
          <w:sz w:val="19"/>
          <w:szCs w:val="19"/>
        </w:rPr>
        <w:t>2</w:t>
      </w:r>
      <w:r w:rsidR="00CE72D3">
        <w:rPr>
          <w:rFonts w:ascii="Trebuchet MS" w:hAnsi="Trebuchet MS"/>
          <w:iCs/>
          <w:sz w:val="19"/>
          <w:szCs w:val="19"/>
        </w:rPr>
        <w:t>,</w:t>
      </w:r>
      <w:r w:rsidR="00D12C6D">
        <w:rPr>
          <w:rFonts w:ascii="Trebuchet MS" w:hAnsi="Trebuchet MS"/>
          <w:iCs/>
          <w:sz w:val="19"/>
          <w:szCs w:val="19"/>
        </w:rPr>
        <w:t>1</w:t>
      </w:r>
      <w:r w:rsidR="00CE72D3">
        <w:rPr>
          <w:rFonts w:ascii="Trebuchet MS" w:hAnsi="Trebuchet MS"/>
          <w:iCs/>
          <w:sz w:val="19"/>
          <w:szCs w:val="19"/>
        </w:rPr>
        <w:t>%</w:t>
      </w:r>
      <w:r>
        <w:rPr>
          <w:rFonts w:ascii="Trebuchet MS" w:hAnsi="Trebuchet MS"/>
          <w:iCs/>
          <w:sz w:val="19"/>
          <w:szCs w:val="19"/>
        </w:rPr>
        <w:t>.</w:t>
      </w:r>
      <w:r w:rsidR="00D12C6D" w:rsidRPr="00F465AC">
        <w:rPr>
          <w:rFonts w:ascii="Trebuchet MS" w:hAnsi="Trebuchet MS"/>
          <w:iCs/>
          <w:sz w:val="19"/>
          <w:szCs w:val="19"/>
        </w:rPr>
        <w:t xml:space="preserve">Cette situation est attribuable en bonne partie à la baisse de la production des </w:t>
      </w:r>
      <w:r w:rsidR="00D12C6D">
        <w:rPr>
          <w:rFonts w:ascii="Trebuchet MS" w:hAnsi="Trebuchet MS"/>
          <w:iCs/>
          <w:sz w:val="19"/>
          <w:szCs w:val="19"/>
        </w:rPr>
        <w:t>tissus écrus</w:t>
      </w:r>
      <w:r w:rsidR="00D12C6D" w:rsidRPr="00F465AC">
        <w:rPr>
          <w:rFonts w:ascii="Trebuchet MS" w:hAnsi="Trebuchet MS"/>
          <w:iCs/>
          <w:sz w:val="19"/>
          <w:szCs w:val="19"/>
        </w:rPr>
        <w:t xml:space="preserve"> (-</w:t>
      </w:r>
      <w:r w:rsidR="00D12C6D">
        <w:rPr>
          <w:rFonts w:ascii="Trebuchet MS" w:hAnsi="Trebuchet MS"/>
          <w:iCs/>
          <w:sz w:val="19"/>
          <w:szCs w:val="19"/>
        </w:rPr>
        <w:t>12</w:t>
      </w:r>
      <w:r w:rsidR="00D12C6D" w:rsidRPr="00F465AC">
        <w:rPr>
          <w:rFonts w:ascii="Trebuchet MS" w:hAnsi="Trebuchet MS"/>
          <w:iCs/>
          <w:sz w:val="19"/>
          <w:szCs w:val="19"/>
        </w:rPr>
        <w:t>,</w:t>
      </w:r>
      <w:r w:rsidR="00D12C6D">
        <w:rPr>
          <w:rFonts w:ascii="Trebuchet MS" w:hAnsi="Trebuchet MS"/>
          <w:iCs/>
          <w:sz w:val="19"/>
          <w:szCs w:val="19"/>
        </w:rPr>
        <w:t>1</w:t>
      </w:r>
      <w:r w:rsidR="00D12C6D" w:rsidRPr="00F465AC">
        <w:rPr>
          <w:rFonts w:ascii="Trebuchet MS" w:hAnsi="Trebuchet MS"/>
          <w:iCs/>
          <w:sz w:val="19"/>
          <w:szCs w:val="19"/>
        </w:rPr>
        <w:t>%)</w:t>
      </w:r>
      <w:r w:rsidR="00CE72D3">
        <w:rPr>
          <w:rFonts w:ascii="Trebuchet MS" w:hAnsi="Trebuchet MS"/>
          <w:iCs/>
          <w:sz w:val="19"/>
          <w:szCs w:val="19"/>
        </w:rPr>
        <w:t>;</w:t>
      </w:r>
      <w:r w:rsidR="006F64B2">
        <w:rPr>
          <w:rFonts w:ascii="Trebuchet MS" w:hAnsi="Trebuchet MS"/>
          <w:iCs/>
          <w:sz w:val="19"/>
          <w:szCs w:val="19"/>
        </w:rPr>
        <w:t xml:space="preserve"> </w:t>
      </w:r>
      <w:r w:rsidR="00CE72D3">
        <w:rPr>
          <w:rFonts w:ascii="Trebuchet MS" w:hAnsi="Trebuchet MS"/>
          <w:iCs/>
          <w:sz w:val="19"/>
          <w:szCs w:val="19"/>
        </w:rPr>
        <w:t>ce</w:t>
      </w:r>
      <w:r w:rsidR="00D12C6D">
        <w:rPr>
          <w:rFonts w:ascii="Trebuchet MS" w:hAnsi="Trebuchet MS"/>
          <w:iCs/>
          <w:sz w:val="19"/>
          <w:szCs w:val="19"/>
        </w:rPr>
        <w:t>ci</w:t>
      </w:r>
      <w:r w:rsidR="00CE72D3">
        <w:rPr>
          <w:rFonts w:ascii="Trebuchet MS" w:hAnsi="Trebuchet MS"/>
          <w:iCs/>
          <w:sz w:val="19"/>
          <w:szCs w:val="19"/>
        </w:rPr>
        <w:t xml:space="preserve"> pourrait s’expliquer par la </w:t>
      </w:r>
      <w:r w:rsidR="00D12C6D">
        <w:rPr>
          <w:rFonts w:ascii="Trebuchet MS" w:hAnsi="Trebuchet MS"/>
          <w:iCs/>
          <w:sz w:val="19"/>
          <w:szCs w:val="19"/>
        </w:rPr>
        <w:t xml:space="preserve">période en cours de la campagne cotonnière ; principal input dans la production textile. </w:t>
      </w:r>
      <w:r w:rsidR="00CE72D3">
        <w:rPr>
          <w:rFonts w:ascii="Trebuchet MS" w:hAnsi="Trebuchet MS"/>
          <w:iCs/>
          <w:sz w:val="19"/>
          <w:szCs w:val="19"/>
        </w:rPr>
        <w:t>De même</w:t>
      </w:r>
      <w:r>
        <w:rPr>
          <w:rFonts w:ascii="Trebuchet MS" w:hAnsi="Trebuchet MS"/>
          <w:iCs/>
          <w:sz w:val="19"/>
          <w:szCs w:val="19"/>
        </w:rPr>
        <w:t xml:space="preserve">, la production de textile </w:t>
      </w:r>
      <w:r w:rsidR="005A6447">
        <w:rPr>
          <w:rFonts w:ascii="Trebuchet MS" w:hAnsi="Trebuchet MS"/>
          <w:iCs/>
          <w:sz w:val="19"/>
          <w:szCs w:val="19"/>
        </w:rPr>
        <w:t>à</w:t>
      </w:r>
      <w:r>
        <w:rPr>
          <w:rFonts w:ascii="Trebuchet MS" w:hAnsi="Trebuchet MS"/>
          <w:iCs/>
          <w:sz w:val="19"/>
          <w:szCs w:val="19"/>
        </w:rPr>
        <w:t xml:space="preserve"> </w:t>
      </w:r>
      <w:r w:rsidR="00D12C6D">
        <w:rPr>
          <w:rFonts w:ascii="Trebuchet MS" w:hAnsi="Trebuchet MS"/>
          <w:iCs/>
          <w:sz w:val="19"/>
          <w:szCs w:val="19"/>
        </w:rPr>
        <w:t xml:space="preserve">régression </w:t>
      </w:r>
      <w:r>
        <w:rPr>
          <w:rFonts w:ascii="Trebuchet MS" w:hAnsi="Trebuchet MS"/>
          <w:iCs/>
          <w:sz w:val="19"/>
          <w:szCs w:val="19"/>
        </w:rPr>
        <w:t>d</w:t>
      </w:r>
      <w:r w:rsidR="00676051">
        <w:rPr>
          <w:rFonts w:ascii="Trebuchet MS" w:hAnsi="Trebuchet MS"/>
          <w:iCs/>
          <w:sz w:val="19"/>
          <w:szCs w:val="19"/>
        </w:rPr>
        <w:t>e</w:t>
      </w:r>
      <w:r w:rsidR="006F64B2">
        <w:rPr>
          <w:rFonts w:ascii="Trebuchet MS" w:hAnsi="Trebuchet MS"/>
          <w:iCs/>
          <w:sz w:val="19"/>
          <w:szCs w:val="19"/>
        </w:rPr>
        <w:t xml:space="preserve"> </w:t>
      </w:r>
      <w:r w:rsidR="00676051">
        <w:rPr>
          <w:rFonts w:ascii="Trebuchet MS" w:hAnsi="Trebuchet MS"/>
          <w:iCs/>
          <w:sz w:val="19"/>
          <w:szCs w:val="19"/>
        </w:rPr>
        <w:t>6,6%</w:t>
      </w:r>
      <w:r w:rsidR="005A6447">
        <w:rPr>
          <w:rFonts w:ascii="Trebuchet MS" w:hAnsi="Trebuchet MS"/>
          <w:iCs/>
          <w:sz w:val="19"/>
          <w:szCs w:val="19"/>
        </w:rPr>
        <w:t xml:space="preserve"> </w:t>
      </w:r>
      <w:r w:rsidRPr="003F0CF9">
        <w:rPr>
          <w:rFonts w:ascii="Trebuchet MS" w:hAnsi="Trebuchet MS"/>
          <w:iCs/>
          <w:sz w:val="19"/>
          <w:szCs w:val="19"/>
        </w:rPr>
        <w:t>en glissement annuel</w:t>
      </w:r>
      <w:r>
        <w:rPr>
          <w:rFonts w:ascii="Trebuchet MS" w:hAnsi="Trebuchet MS"/>
          <w:iCs/>
          <w:sz w:val="19"/>
          <w:szCs w:val="19"/>
        </w:rPr>
        <w:t>.</w:t>
      </w:r>
    </w:p>
    <w:p w14:paraId="50E216BF" w14:textId="7B65B3BB" w:rsidR="00280C53" w:rsidRDefault="00280C53" w:rsidP="00280C53">
      <w:pPr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Par rapport à l’année précédente l’activité dans </w:t>
      </w:r>
      <w:r w:rsidR="00B87147">
        <w:rPr>
          <w:rFonts w:ascii="Trebuchet MS" w:hAnsi="Trebuchet MS"/>
          <w:sz w:val="19"/>
          <w:szCs w:val="19"/>
        </w:rPr>
        <w:t>l’</w:t>
      </w:r>
      <w:r>
        <w:rPr>
          <w:rFonts w:ascii="Trebuchet MS" w:hAnsi="Trebuchet MS"/>
          <w:sz w:val="19"/>
          <w:szCs w:val="19"/>
        </w:rPr>
        <w:t>industrie textile a enregistré en moyenne annuelle une décrue d’environ 8 points en 2018.</w:t>
      </w:r>
    </w:p>
    <w:p w14:paraId="0C8F6C11" w14:textId="77777777" w:rsidR="00280C53" w:rsidRPr="003F0CF9" w:rsidRDefault="00280C53" w:rsidP="009B3187">
      <w:pPr>
        <w:jc w:val="both"/>
        <w:rPr>
          <w:rFonts w:ascii="Trebuchet MS" w:hAnsi="Trebuchet MS"/>
          <w:iCs/>
          <w:sz w:val="19"/>
          <w:szCs w:val="19"/>
        </w:rPr>
      </w:pPr>
    </w:p>
    <w:p w14:paraId="75317102" w14:textId="77777777" w:rsidR="005D1DC3" w:rsidRPr="00377CC4" w:rsidRDefault="005D1DC3" w:rsidP="005D1DC3">
      <w:pPr>
        <w:jc w:val="both"/>
        <w:rPr>
          <w:rFonts w:ascii="Trebuchet MS" w:hAnsi="Trebuchet MS"/>
          <w:iCs/>
          <w:sz w:val="8"/>
          <w:szCs w:val="19"/>
          <w:highlight w:val="yellow"/>
        </w:rPr>
      </w:pPr>
    </w:p>
    <w:p w14:paraId="04C959B5" w14:textId="77777777" w:rsidR="005D1DC3" w:rsidRPr="00131D5F" w:rsidRDefault="00643A19" w:rsidP="00C33C1E">
      <w:pPr>
        <w:spacing w:after="240"/>
        <w:jc w:val="both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3D8577B1" wp14:editId="444DA6AE">
            <wp:extent cx="2897505" cy="2028825"/>
            <wp:effectExtent l="0" t="0" r="17145" b="9525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D1DC3" w:rsidRPr="00FB7585">
        <w:rPr>
          <w:rFonts w:ascii="Trebuchet MS" w:hAnsi="Trebuchet MS"/>
          <w:b/>
          <w:sz w:val="16"/>
          <w:szCs w:val="16"/>
        </w:rPr>
        <w:t>Source</w:t>
      </w:r>
      <w:r w:rsidR="005D1DC3" w:rsidRPr="00FB7585">
        <w:rPr>
          <w:rFonts w:ascii="Trebuchet MS" w:hAnsi="Trebuchet MS"/>
          <w:sz w:val="16"/>
          <w:szCs w:val="16"/>
        </w:rPr>
        <w:t> : INSAE, DSEE</w:t>
      </w:r>
    </w:p>
    <w:p w14:paraId="3B833185" w14:textId="77777777" w:rsidR="005D1DC3" w:rsidRDefault="005D1DC3" w:rsidP="005D1DC3">
      <w:pPr>
        <w:jc w:val="both"/>
        <w:rPr>
          <w:iCs/>
          <w:color w:val="FF0000"/>
          <w:sz w:val="20"/>
          <w:szCs w:val="20"/>
        </w:rPr>
      </w:pPr>
    </w:p>
    <w:p w14:paraId="330FA112" w14:textId="77777777" w:rsidR="005D1DC3" w:rsidRDefault="005D1DC3" w:rsidP="005D1DC3">
      <w:pPr>
        <w:jc w:val="both"/>
        <w:rPr>
          <w:iCs/>
          <w:color w:val="FF0000"/>
          <w:sz w:val="20"/>
          <w:szCs w:val="20"/>
        </w:rPr>
        <w:sectPr w:rsidR="005D1DC3" w:rsidSect="00046596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79A2FCA3" w14:textId="77777777" w:rsidR="005D1DC3" w:rsidRDefault="005D1DC3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L’</w:t>
      </w:r>
      <w:r w:rsidR="005C297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industrie 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c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himique</w:t>
      </w:r>
      <w:r w:rsidR="005A644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E713F1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en</w:t>
      </w:r>
      <w:r w:rsidR="005A644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E713F1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registre une reprise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…</w:t>
      </w:r>
    </w:p>
    <w:p w14:paraId="7CC2F5E4" w14:textId="77777777" w:rsidR="001164EA" w:rsidRPr="00D81E24" w:rsidRDefault="001164EA" w:rsidP="001164EA">
      <w:pPr>
        <w:jc w:val="both"/>
        <w:rPr>
          <w:rFonts w:ascii="Trebuchet MS" w:hAnsi="Trebuchet MS"/>
          <w:iCs/>
          <w:color w:val="FF0000"/>
          <w:sz w:val="10"/>
          <w:szCs w:val="19"/>
        </w:rPr>
      </w:pPr>
    </w:p>
    <w:p w14:paraId="5E60359F" w14:textId="77777777" w:rsidR="001164EA" w:rsidRPr="008F2B12" w:rsidRDefault="007C77F2" w:rsidP="001164EA">
      <w:pPr>
        <w:jc w:val="both"/>
        <w:rPr>
          <w:rFonts w:ascii="Trebuchet MS" w:hAnsi="Trebuchet MS"/>
          <w:iCs/>
          <w:color w:val="FF0000"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À</w:t>
      </w:r>
      <w:r w:rsidR="00A22D9C">
        <w:rPr>
          <w:rFonts w:ascii="Trebuchet MS" w:hAnsi="Trebuchet MS"/>
          <w:iCs/>
          <w:sz w:val="19"/>
          <w:szCs w:val="19"/>
        </w:rPr>
        <w:t xml:space="preserve"> la s</w:t>
      </w:r>
      <w:r w:rsidR="00D81E24">
        <w:rPr>
          <w:rFonts w:ascii="Trebuchet MS" w:hAnsi="Trebuchet MS"/>
          <w:iCs/>
          <w:sz w:val="19"/>
          <w:szCs w:val="19"/>
        </w:rPr>
        <w:t>uite des baisses successives</w:t>
      </w:r>
      <w:r w:rsidR="003D3BF3">
        <w:rPr>
          <w:rFonts w:ascii="Trebuchet MS" w:hAnsi="Trebuchet MS"/>
          <w:iCs/>
          <w:sz w:val="19"/>
          <w:szCs w:val="19"/>
        </w:rPr>
        <w:t xml:space="preserve"> </w:t>
      </w:r>
      <w:r w:rsidR="00A22D9C">
        <w:rPr>
          <w:rFonts w:ascii="Trebuchet MS" w:hAnsi="Trebuchet MS"/>
          <w:iCs/>
          <w:sz w:val="19"/>
          <w:szCs w:val="19"/>
        </w:rPr>
        <w:t xml:space="preserve">constatées </w:t>
      </w:r>
      <w:r w:rsidR="001164EA" w:rsidRPr="00525B4B">
        <w:rPr>
          <w:rFonts w:ascii="Trebuchet MS" w:hAnsi="Trebuchet MS"/>
          <w:iCs/>
          <w:sz w:val="19"/>
          <w:szCs w:val="19"/>
        </w:rPr>
        <w:t>au cours des deux trimestres précédents</w:t>
      </w:r>
      <w:r w:rsidR="001164EA">
        <w:rPr>
          <w:rFonts w:ascii="Trebuchet MS" w:hAnsi="Trebuchet MS"/>
          <w:iCs/>
          <w:sz w:val="19"/>
          <w:szCs w:val="19"/>
        </w:rPr>
        <w:t xml:space="preserve">, la production chimique a enregistré une </w:t>
      </w:r>
      <w:r w:rsidR="00D81E24">
        <w:rPr>
          <w:rFonts w:ascii="Trebuchet MS" w:hAnsi="Trebuchet MS"/>
          <w:iCs/>
          <w:sz w:val="19"/>
          <w:szCs w:val="19"/>
        </w:rPr>
        <w:t>importante</w:t>
      </w:r>
      <w:r w:rsidR="001164EA">
        <w:rPr>
          <w:rFonts w:ascii="Trebuchet MS" w:hAnsi="Trebuchet MS"/>
          <w:iCs/>
          <w:sz w:val="19"/>
          <w:szCs w:val="19"/>
        </w:rPr>
        <w:t xml:space="preserve"> reprise au quatrième trimestre 201</w:t>
      </w:r>
      <w:r w:rsidR="00D81E24">
        <w:rPr>
          <w:rFonts w:ascii="Trebuchet MS" w:hAnsi="Trebuchet MS"/>
          <w:iCs/>
          <w:sz w:val="19"/>
          <w:szCs w:val="19"/>
        </w:rPr>
        <w:t>8</w:t>
      </w:r>
      <w:r w:rsidR="001164EA" w:rsidRPr="00525B4B">
        <w:rPr>
          <w:rFonts w:ascii="Trebuchet MS" w:hAnsi="Trebuchet MS"/>
          <w:iCs/>
          <w:sz w:val="19"/>
          <w:szCs w:val="19"/>
        </w:rPr>
        <w:t>.</w:t>
      </w:r>
      <w:r w:rsidR="003D3BF3">
        <w:rPr>
          <w:rFonts w:ascii="Trebuchet MS" w:hAnsi="Trebuchet MS"/>
          <w:iCs/>
          <w:sz w:val="19"/>
          <w:szCs w:val="19"/>
        </w:rPr>
        <w:t xml:space="preserve"> </w:t>
      </w:r>
      <w:r w:rsidR="001164EA" w:rsidRPr="00A3213C">
        <w:rPr>
          <w:rFonts w:ascii="Trebuchet MS" w:hAnsi="Trebuchet MS"/>
          <w:iCs/>
          <w:sz w:val="19"/>
          <w:szCs w:val="19"/>
        </w:rPr>
        <w:t xml:space="preserve">Le regain d’activités </w:t>
      </w:r>
      <w:r w:rsidR="00D81E24">
        <w:rPr>
          <w:rFonts w:ascii="Trebuchet MS" w:hAnsi="Trebuchet MS"/>
          <w:iCs/>
          <w:sz w:val="19"/>
          <w:szCs w:val="19"/>
        </w:rPr>
        <w:t xml:space="preserve">(+12,1%) </w:t>
      </w:r>
      <w:r w:rsidR="001164EA" w:rsidRPr="00A3213C">
        <w:rPr>
          <w:rFonts w:ascii="Trebuchet MS" w:hAnsi="Trebuchet MS"/>
          <w:iCs/>
          <w:sz w:val="19"/>
          <w:szCs w:val="19"/>
        </w:rPr>
        <w:t xml:space="preserve">constaté en glissement trimestriel est imputable essentiellement de la production de </w:t>
      </w:r>
      <w:r w:rsidR="00D81E24">
        <w:rPr>
          <w:rFonts w:ascii="Trebuchet MS" w:hAnsi="Trebuchet MS"/>
          <w:iCs/>
          <w:sz w:val="19"/>
          <w:szCs w:val="19"/>
        </w:rPr>
        <w:t>savons</w:t>
      </w:r>
      <w:r w:rsidR="001164EA" w:rsidRPr="00A3213C">
        <w:rPr>
          <w:rFonts w:ascii="Trebuchet MS" w:hAnsi="Trebuchet MS"/>
          <w:iCs/>
          <w:sz w:val="19"/>
          <w:szCs w:val="19"/>
        </w:rPr>
        <w:t xml:space="preserve"> qui a </w:t>
      </w:r>
      <w:r w:rsidR="00D81E24">
        <w:rPr>
          <w:rFonts w:ascii="Trebuchet MS" w:hAnsi="Trebuchet MS"/>
          <w:iCs/>
          <w:sz w:val="19"/>
          <w:szCs w:val="19"/>
        </w:rPr>
        <w:t>augmenté de 21</w:t>
      </w:r>
      <w:r w:rsidR="001164EA" w:rsidRPr="00A3213C">
        <w:rPr>
          <w:rFonts w:ascii="Trebuchet MS" w:hAnsi="Trebuchet MS"/>
          <w:iCs/>
          <w:sz w:val="19"/>
          <w:szCs w:val="19"/>
        </w:rPr>
        <w:t>,</w:t>
      </w:r>
      <w:r w:rsidR="00D81E24">
        <w:rPr>
          <w:rFonts w:ascii="Trebuchet MS" w:hAnsi="Trebuchet MS"/>
          <w:iCs/>
          <w:sz w:val="19"/>
          <w:szCs w:val="19"/>
        </w:rPr>
        <w:t>6</w:t>
      </w:r>
      <w:r w:rsidR="001164EA" w:rsidRPr="00A3213C">
        <w:rPr>
          <w:rFonts w:ascii="Trebuchet MS" w:hAnsi="Trebuchet MS"/>
          <w:iCs/>
          <w:sz w:val="19"/>
          <w:szCs w:val="19"/>
        </w:rPr>
        <w:t>%.</w:t>
      </w:r>
      <w:r w:rsidR="003D3BF3">
        <w:rPr>
          <w:rFonts w:ascii="Trebuchet MS" w:hAnsi="Trebuchet MS"/>
          <w:iCs/>
          <w:sz w:val="19"/>
          <w:szCs w:val="19"/>
        </w:rPr>
        <w:t xml:space="preserve"> </w:t>
      </w:r>
      <w:r w:rsidR="001164EA" w:rsidRPr="00E71042">
        <w:rPr>
          <w:rFonts w:ascii="Trebuchet MS" w:hAnsi="Trebuchet MS"/>
          <w:iCs/>
          <w:sz w:val="19"/>
          <w:szCs w:val="19"/>
        </w:rPr>
        <w:t xml:space="preserve">Néanmoins, cette bonne performance de l’activité chimique reste moins perceptible en glissement annuel puisque la production </w:t>
      </w:r>
      <w:r w:rsidR="00D860B7">
        <w:rPr>
          <w:rFonts w:ascii="Trebuchet MS" w:hAnsi="Trebuchet MS"/>
          <w:iCs/>
          <w:sz w:val="19"/>
          <w:szCs w:val="19"/>
        </w:rPr>
        <w:t xml:space="preserve">dans les industries chimiques </w:t>
      </w:r>
      <w:r w:rsidR="001164EA" w:rsidRPr="00E71042">
        <w:rPr>
          <w:rFonts w:ascii="Trebuchet MS" w:hAnsi="Trebuchet MS"/>
          <w:iCs/>
          <w:sz w:val="19"/>
          <w:szCs w:val="19"/>
        </w:rPr>
        <w:t>a reculé  d</w:t>
      </w:r>
      <w:r w:rsidR="00D860B7">
        <w:rPr>
          <w:rFonts w:ascii="Trebuchet MS" w:hAnsi="Trebuchet MS"/>
          <w:iCs/>
          <w:sz w:val="19"/>
          <w:szCs w:val="19"/>
        </w:rPr>
        <w:t>’environ</w:t>
      </w:r>
      <w:r w:rsidR="003D3BF3">
        <w:rPr>
          <w:rFonts w:ascii="Trebuchet MS" w:hAnsi="Trebuchet MS"/>
          <w:iCs/>
          <w:sz w:val="19"/>
          <w:szCs w:val="19"/>
        </w:rPr>
        <w:t xml:space="preserve"> </w:t>
      </w:r>
      <w:r w:rsidR="00D860B7">
        <w:rPr>
          <w:rFonts w:ascii="Trebuchet MS" w:hAnsi="Trebuchet MS"/>
          <w:iCs/>
          <w:sz w:val="19"/>
          <w:szCs w:val="19"/>
        </w:rPr>
        <w:t>25</w:t>
      </w:r>
      <w:r w:rsidR="001164EA" w:rsidRPr="00E71042">
        <w:rPr>
          <w:rFonts w:ascii="Trebuchet MS" w:hAnsi="Trebuchet MS"/>
          <w:iCs/>
          <w:sz w:val="19"/>
          <w:szCs w:val="19"/>
        </w:rPr>
        <w:t>%</w:t>
      </w:r>
      <w:r w:rsidR="003D3BF3">
        <w:rPr>
          <w:rFonts w:ascii="Trebuchet MS" w:hAnsi="Trebuchet MS"/>
          <w:iCs/>
          <w:sz w:val="19"/>
          <w:szCs w:val="19"/>
        </w:rPr>
        <w:t xml:space="preserve"> </w:t>
      </w:r>
      <w:r w:rsidR="001164EA" w:rsidRPr="00E71042">
        <w:rPr>
          <w:rFonts w:ascii="Trebuchet MS" w:hAnsi="Trebuchet MS"/>
          <w:iCs/>
          <w:sz w:val="19"/>
          <w:szCs w:val="19"/>
        </w:rPr>
        <w:t xml:space="preserve">par </w:t>
      </w:r>
      <w:r w:rsidR="00D860B7">
        <w:rPr>
          <w:rFonts w:ascii="Trebuchet MS" w:hAnsi="Trebuchet MS"/>
          <w:iCs/>
          <w:sz w:val="19"/>
          <w:szCs w:val="19"/>
        </w:rPr>
        <w:t>rapport au même trimestre de 2017</w:t>
      </w:r>
      <w:r w:rsidR="001164EA" w:rsidRPr="00E71042">
        <w:rPr>
          <w:rFonts w:ascii="Trebuchet MS" w:hAnsi="Trebuchet MS"/>
          <w:iCs/>
          <w:sz w:val="19"/>
          <w:szCs w:val="19"/>
        </w:rPr>
        <w:t>.</w:t>
      </w:r>
    </w:p>
    <w:p w14:paraId="2BF5F01A" w14:textId="77777777" w:rsidR="00D860B7" w:rsidRDefault="00D860B7" w:rsidP="00BD1C83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Par rapport à l’année précédente l’activité dans </w:t>
      </w:r>
      <w:r w:rsidR="00197D79">
        <w:rPr>
          <w:rFonts w:ascii="Trebuchet MS" w:hAnsi="Trebuchet MS"/>
          <w:sz w:val="19"/>
          <w:szCs w:val="19"/>
        </w:rPr>
        <w:t xml:space="preserve">les </w:t>
      </w:r>
      <w:r>
        <w:rPr>
          <w:rFonts w:ascii="Trebuchet MS" w:hAnsi="Trebuchet MS"/>
          <w:sz w:val="19"/>
          <w:szCs w:val="19"/>
        </w:rPr>
        <w:t xml:space="preserve">industries </w:t>
      </w:r>
      <w:r w:rsidR="00197D79">
        <w:rPr>
          <w:rFonts w:ascii="Trebuchet MS" w:hAnsi="Trebuchet MS"/>
          <w:sz w:val="19"/>
          <w:szCs w:val="19"/>
        </w:rPr>
        <w:t>chimiques</w:t>
      </w:r>
      <w:r>
        <w:rPr>
          <w:rFonts w:ascii="Trebuchet MS" w:hAnsi="Trebuchet MS"/>
          <w:sz w:val="19"/>
          <w:szCs w:val="19"/>
        </w:rPr>
        <w:t xml:space="preserve"> a enregistré en moyenne annuelle un</w:t>
      </w:r>
      <w:r w:rsidR="00197D79">
        <w:rPr>
          <w:rFonts w:ascii="Trebuchet MS" w:hAnsi="Trebuchet MS"/>
          <w:sz w:val="19"/>
          <w:szCs w:val="19"/>
        </w:rPr>
        <w:t>e</w:t>
      </w:r>
      <w:r w:rsidR="003D3BF3">
        <w:rPr>
          <w:rFonts w:ascii="Trebuchet MS" w:hAnsi="Trebuchet MS"/>
          <w:sz w:val="19"/>
          <w:szCs w:val="19"/>
        </w:rPr>
        <w:t xml:space="preserve"> </w:t>
      </w:r>
      <w:r w:rsidR="00EA64F4">
        <w:rPr>
          <w:rFonts w:ascii="Trebuchet MS" w:hAnsi="Trebuchet MS"/>
          <w:sz w:val="19"/>
          <w:szCs w:val="19"/>
        </w:rPr>
        <w:t>décroissance</w:t>
      </w:r>
      <w:r>
        <w:rPr>
          <w:rFonts w:ascii="Trebuchet MS" w:hAnsi="Trebuchet MS"/>
          <w:sz w:val="19"/>
          <w:szCs w:val="19"/>
        </w:rPr>
        <w:t xml:space="preserve"> de 6,2% en 2018. </w:t>
      </w:r>
    </w:p>
    <w:p w14:paraId="1508D909" w14:textId="77777777" w:rsidR="005D1DC3" w:rsidRDefault="005D1DC3" w:rsidP="005D1DC3">
      <w:pPr>
        <w:autoSpaceDE w:val="0"/>
        <w:autoSpaceDN w:val="0"/>
        <w:adjustRightInd w:val="0"/>
        <w:spacing w:line="276" w:lineRule="auto"/>
        <w:rPr>
          <w:szCs w:val="20"/>
        </w:rPr>
      </w:pPr>
    </w:p>
    <w:p w14:paraId="0F7ADB9B" w14:textId="77777777" w:rsidR="005D1DC3" w:rsidRDefault="00C7763F" w:rsidP="005D1DC3">
      <w:pPr>
        <w:autoSpaceDE w:val="0"/>
        <w:autoSpaceDN w:val="0"/>
        <w:adjustRightInd w:val="0"/>
        <w:spacing w:line="276" w:lineRule="auto"/>
        <w:rPr>
          <w:szCs w:val="20"/>
        </w:rPr>
      </w:pPr>
      <w:r>
        <w:rPr>
          <w:noProof/>
          <w:lang w:bidi="ar-SA"/>
        </w:rPr>
        <w:drawing>
          <wp:inline distT="0" distB="0" distL="0" distR="0" wp14:anchorId="720031D5" wp14:editId="0C84A34E">
            <wp:extent cx="2888615" cy="2276475"/>
            <wp:effectExtent l="0" t="0" r="698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74778A9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0BECE3CF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19EC2BC8" w14:textId="77777777" w:rsidR="00117157" w:rsidRDefault="00117157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1458583F" w14:textId="77777777" w:rsidR="00117157" w:rsidRDefault="00117157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1C3E3265" w14:textId="77777777" w:rsidR="00117157" w:rsidRDefault="00117157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19200770" w14:textId="77777777" w:rsidR="00117157" w:rsidRDefault="00117157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7CCA16BF" w14:textId="77777777" w:rsidR="00117157" w:rsidRDefault="00117157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6FD78D07" w14:textId="2F392FE8" w:rsidR="005D1DC3" w:rsidRPr="007A1470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lastRenderedPageBreak/>
        <w:t xml:space="preserve">La production d’énergie </w:t>
      </w:r>
      <w:r w:rsidR="005A644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rebondi</w:t>
      </w:r>
      <w:r w:rsidR="00B8714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e</w:t>
      </w:r>
      <w:r w:rsidR="009D64EB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3B4A3842" w14:textId="77777777" w:rsidR="005D1DC3" w:rsidRPr="004749FD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295D196A" w14:textId="77777777" w:rsidR="00197D79" w:rsidRPr="001774EE" w:rsidRDefault="00197D79" w:rsidP="00197D79">
      <w:pPr>
        <w:jc w:val="both"/>
        <w:rPr>
          <w:rFonts w:ascii="Trebuchet MS" w:hAnsi="Trebuchet MS"/>
          <w:iCs/>
          <w:sz w:val="19"/>
          <w:szCs w:val="19"/>
        </w:rPr>
      </w:pPr>
      <w:r w:rsidRPr="00091082">
        <w:rPr>
          <w:rFonts w:ascii="Trebuchet MS" w:hAnsi="Trebuchet MS"/>
          <w:iCs/>
          <w:sz w:val="19"/>
          <w:szCs w:val="19"/>
        </w:rPr>
        <w:t xml:space="preserve">Après avoir </w:t>
      </w:r>
      <w:r>
        <w:rPr>
          <w:rFonts w:ascii="Trebuchet MS" w:hAnsi="Trebuchet MS"/>
          <w:iCs/>
          <w:sz w:val="19"/>
          <w:szCs w:val="19"/>
        </w:rPr>
        <w:t>enregistré</w:t>
      </w:r>
      <w:r w:rsidRPr="00091082">
        <w:rPr>
          <w:rFonts w:ascii="Trebuchet MS" w:hAnsi="Trebuchet MS"/>
          <w:iCs/>
          <w:sz w:val="19"/>
          <w:szCs w:val="19"/>
        </w:rPr>
        <w:t xml:space="preserve"> deux trimestres consécutifs de contre-performance, la</w:t>
      </w:r>
      <w:r w:rsidR="005A6447">
        <w:rPr>
          <w:rFonts w:ascii="Trebuchet MS" w:hAnsi="Trebuchet MS"/>
          <w:iCs/>
          <w:sz w:val="19"/>
          <w:szCs w:val="19"/>
        </w:rPr>
        <w:t xml:space="preserve"> production d’énergie a rebondi</w:t>
      </w:r>
      <w:r w:rsidRPr="00091082">
        <w:rPr>
          <w:rFonts w:ascii="Trebuchet MS" w:hAnsi="Trebuchet MS"/>
          <w:iCs/>
          <w:sz w:val="19"/>
          <w:szCs w:val="19"/>
        </w:rPr>
        <w:t xml:space="preserve"> au quatrième trimestre 201</w:t>
      </w:r>
      <w:r>
        <w:rPr>
          <w:rFonts w:ascii="Trebuchet MS" w:hAnsi="Trebuchet MS"/>
          <w:iCs/>
          <w:sz w:val="19"/>
          <w:szCs w:val="19"/>
        </w:rPr>
        <w:t>8</w:t>
      </w:r>
      <w:r w:rsidRPr="00091082">
        <w:rPr>
          <w:rFonts w:ascii="Trebuchet MS" w:hAnsi="Trebuchet MS"/>
          <w:iCs/>
          <w:sz w:val="19"/>
          <w:szCs w:val="19"/>
        </w:rPr>
        <w:t xml:space="preserve">. Son accroissement est ressorti à </w:t>
      </w:r>
      <w:r>
        <w:rPr>
          <w:rFonts w:ascii="Trebuchet MS" w:hAnsi="Trebuchet MS"/>
          <w:iCs/>
          <w:sz w:val="19"/>
          <w:szCs w:val="19"/>
        </w:rPr>
        <w:t>9</w:t>
      </w:r>
      <w:r w:rsidRPr="00091082">
        <w:rPr>
          <w:rFonts w:ascii="Trebuchet MS" w:hAnsi="Trebuchet MS"/>
          <w:iCs/>
          <w:sz w:val="19"/>
          <w:szCs w:val="19"/>
        </w:rPr>
        <w:t>,</w:t>
      </w:r>
      <w:r>
        <w:rPr>
          <w:rFonts w:ascii="Trebuchet MS" w:hAnsi="Trebuchet MS"/>
          <w:iCs/>
          <w:sz w:val="19"/>
          <w:szCs w:val="19"/>
        </w:rPr>
        <w:t>0</w:t>
      </w:r>
      <w:r w:rsidRPr="00091082">
        <w:rPr>
          <w:rFonts w:ascii="Trebuchet MS" w:hAnsi="Trebuchet MS"/>
          <w:iCs/>
          <w:sz w:val="19"/>
          <w:szCs w:val="19"/>
        </w:rPr>
        <w:t xml:space="preserve">% en glissement trimestriel. Cette situation est le résultat d’une forte hausse de la production d’électricité qui a enregistré une </w:t>
      </w:r>
      <w:r>
        <w:rPr>
          <w:rFonts w:ascii="Trebuchet MS" w:hAnsi="Trebuchet MS"/>
          <w:iCs/>
          <w:sz w:val="19"/>
          <w:szCs w:val="19"/>
        </w:rPr>
        <w:t xml:space="preserve">embellie </w:t>
      </w:r>
      <w:r w:rsidRPr="00091082">
        <w:rPr>
          <w:rFonts w:ascii="Trebuchet MS" w:hAnsi="Trebuchet MS"/>
          <w:iCs/>
          <w:sz w:val="19"/>
          <w:szCs w:val="19"/>
        </w:rPr>
        <w:t xml:space="preserve">de </w:t>
      </w:r>
      <w:r>
        <w:rPr>
          <w:rFonts w:ascii="Trebuchet MS" w:hAnsi="Trebuchet MS"/>
          <w:iCs/>
          <w:sz w:val="19"/>
          <w:szCs w:val="19"/>
        </w:rPr>
        <w:t>10</w:t>
      </w:r>
      <w:r w:rsidRPr="00091082">
        <w:rPr>
          <w:rFonts w:ascii="Trebuchet MS" w:hAnsi="Trebuchet MS"/>
          <w:iCs/>
          <w:sz w:val="19"/>
          <w:szCs w:val="19"/>
        </w:rPr>
        <w:t>,</w:t>
      </w:r>
      <w:r>
        <w:rPr>
          <w:rFonts w:ascii="Trebuchet MS" w:hAnsi="Trebuchet MS"/>
          <w:iCs/>
          <w:sz w:val="19"/>
          <w:szCs w:val="19"/>
        </w:rPr>
        <w:t>4</w:t>
      </w:r>
      <w:r w:rsidRPr="00091082">
        <w:rPr>
          <w:rFonts w:ascii="Trebuchet MS" w:hAnsi="Trebuchet MS"/>
          <w:iCs/>
          <w:sz w:val="19"/>
          <w:szCs w:val="19"/>
        </w:rPr>
        <w:t xml:space="preserve">% en glissement trimestriel. La production d’eau </w:t>
      </w:r>
      <w:r w:rsidR="001376D8">
        <w:rPr>
          <w:rFonts w:ascii="Trebuchet MS" w:hAnsi="Trebuchet MS"/>
          <w:iCs/>
          <w:sz w:val="19"/>
          <w:szCs w:val="19"/>
        </w:rPr>
        <w:t xml:space="preserve">quant à elle </w:t>
      </w:r>
      <w:r w:rsidRPr="00091082">
        <w:rPr>
          <w:rFonts w:ascii="Trebuchet MS" w:hAnsi="Trebuchet MS"/>
          <w:iCs/>
          <w:sz w:val="19"/>
          <w:szCs w:val="19"/>
        </w:rPr>
        <w:t xml:space="preserve">a également </w:t>
      </w:r>
      <w:r w:rsidR="005A6447">
        <w:rPr>
          <w:rFonts w:ascii="Trebuchet MS" w:hAnsi="Trebuchet MS"/>
          <w:iCs/>
          <w:sz w:val="19"/>
          <w:szCs w:val="19"/>
        </w:rPr>
        <w:t>connu</w:t>
      </w:r>
      <w:r w:rsidR="001376D8">
        <w:rPr>
          <w:rFonts w:ascii="Trebuchet MS" w:hAnsi="Trebuchet MS"/>
          <w:iCs/>
          <w:sz w:val="19"/>
          <w:szCs w:val="19"/>
        </w:rPr>
        <w:t xml:space="preserve"> une légère </w:t>
      </w:r>
      <w:r w:rsidRPr="00091082">
        <w:rPr>
          <w:rFonts w:ascii="Trebuchet MS" w:hAnsi="Trebuchet MS"/>
          <w:iCs/>
          <w:sz w:val="19"/>
          <w:szCs w:val="19"/>
        </w:rPr>
        <w:t>augment</w:t>
      </w:r>
      <w:r w:rsidR="001376D8">
        <w:rPr>
          <w:rFonts w:ascii="Trebuchet MS" w:hAnsi="Trebuchet MS"/>
          <w:iCs/>
          <w:sz w:val="19"/>
          <w:szCs w:val="19"/>
        </w:rPr>
        <w:t>ation</w:t>
      </w:r>
      <w:r w:rsidRPr="00091082">
        <w:rPr>
          <w:rFonts w:ascii="Trebuchet MS" w:hAnsi="Trebuchet MS"/>
          <w:iCs/>
          <w:sz w:val="19"/>
          <w:szCs w:val="19"/>
        </w:rPr>
        <w:t xml:space="preserve"> de </w:t>
      </w:r>
      <w:r w:rsidR="001376D8">
        <w:rPr>
          <w:rFonts w:ascii="Trebuchet MS" w:hAnsi="Trebuchet MS"/>
          <w:iCs/>
          <w:sz w:val="19"/>
          <w:szCs w:val="19"/>
        </w:rPr>
        <w:t>1</w:t>
      </w:r>
      <w:r w:rsidRPr="00091082">
        <w:rPr>
          <w:rFonts w:ascii="Trebuchet MS" w:hAnsi="Trebuchet MS"/>
          <w:iCs/>
          <w:sz w:val="19"/>
          <w:szCs w:val="19"/>
        </w:rPr>
        <w:t>,</w:t>
      </w:r>
      <w:r w:rsidR="001376D8">
        <w:rPr>
          <w:rFonts w:ascii="Trebuchet MS" w:hAnsi="Trebuchet MS"/>
          <w:iCs/>
          <w:sz w:val="19"/>
          <w:szCs w:val="19"/>
        </w:rPr>
        <w:t>1</w:t>
      </w:r>
      <w:r w:rsidRPr="00091082">
        <w:rPr>
          <w:rFonts w:ascii="Trebuchet MS" w:hAnsi="Trebuchet MS"/>
          <w:iCs/>
          <w:sz w:val="19"/>
          <w:szCs w:val="19"/>
        </w:rPr>
        <w:t>%</w:t>
      </w:r>
      <w:r w:rsidR="001376D8">
        <w:rPr>
          <w:rFonts w:ascii="Trebuchet MS" w:hAnsi="Trebuchet MS"/>
          <w:iCs/>
          <w:sz w:val="19"/>
          <w:szCs w:val="19"/>
        </w:rPr>
        <w:t>.</w:t>
      </w:r>
      <w:r w:rsidR="00542F96">
        <w:rPr>
          <w:rFonts w:ascii="Trebuchet MS" w:hAnsi="Trebuchet MS"/>
          <w:iCs/>
          <w:sz w:val="19"/>
          <w:szCs w:val="19"/>
        </w:rPr>
        <w:t xml:space="preserve">En revanche, il est noté un </w:t>
      </w:r>
      <w:r w:rsidRPr="001774EE">
        <w:rPr>
          <w:rFonts w:ascii="Trebuchet MS" w:hAnsi="Trebuchet MS"/>
          <w:iCs/>
          <w:sz w:val="19"/>
          <w:szCs w:val="19"/>
        </w:rPr>
        <w:t>accroissement (</w:t>
      </w:r>
      <w:r w:rsidR="001376D8">
        <w:rPr>
          <w:rFonts w:ascii="Trebuchet MS" w:hAnsi="Trebuchet MS"/>
          <w:iCs/>
          <w:sz w:val="19"/>
          <w:szCs w:val="19"/>
        </w:rPr>
        <w:t>1</w:t>
      </w:r>
      <w:r w:rsidRPr="001774EE">
        <w:rPr>
          <w:rFonts w:ascii="Trebuchet MS" w:hAnsi="Trebuchet MS"/>
          <w:iCs/>
          <w:sz w:val="19"/>
          <w:szCs w:val="19"/>
        </w:rPr>
        <w:t>,</w:t>
      </w:r>
      <w:r w:rsidR="001376D8">
        <w:rPr>
          <w:rFonts w:ascii="Trebuchet MS" w:hAnsi="Trebuchet MS"/>
          <w:iCs/>
          <w:sz w:val="19"/>
          <w:szCs w:val="19"/>
        </w:rPr>
        <w:t>3</w:t>
      </w:r>
      <w:r w:rsidRPr="001774EE">
        <w:rPr>
          <w:rFonts w:ascii="Trebuchet MS" w:hAnsi="Trebuchet MS"/>
          <w:iCs/>
          <w:sz w:val="19"/>
          <w:szCs w:val="19"/>
        </w:rPr>
        <w:t xml:space="preserve">%) de la production </w:t>
      </w:r>
      <w:r w:rsidR="00EA64F4">
        <w:rPr>
          <w:rFonts w:ascii="Trebuchet MS" w:hAnsi="Trebuchet MS"/>
          <w:iCs/>
          <w:sz w:val="19"/>
          <w:szCs w:val="19"/>
        </w:rPr>
        <w:t xml:space="preserve"> d’énergie en glissement annuel</w:t>
      </w:r>
      <w:r w:rsidR="00542F96">
        <w:rPr>
          <w:rFonts w:ascii="Trebuchet MS" w:hAnsi="Trebuchet MS"/>
          <w:iCs/>
          <w:sz w:val="19"/>
          <w:szCs w:val="19"/>
        </w:rPr>
        <w:t>,</w:t>
      </w:r>
      <w:r w:rsidR="00EA64F4">
        <w:rPr>
          <w:rFonts w:ascii="Trebuchet MS" w:hAnsi="Trebuchet MS"/>
          <w:iCs/>
          <w:sz w:val="19"/>
          <w:szCs w:val="19"/>
        </w:rPr>
        <w:t xml:space="preserve"> due</w:t>
      </w:r>
      <w:r w:rsidR="003C7BAB">
        <w:rPr>
          <w:rFonts w:ascii="Trebuchet MS" w:hAnsi="Trebuchet MS"/>
          <w:iCs/>
          <w:sz w:val="19"/>
          <w:szCs w:val="19"/>
        </w:rPr>
        <w:t xml:space="preserve"> notamment</w:t>
      </w:r>
      <w:r w:rsidR="00EA64F4">
        <w:rPr>
          <w:rFonts w:ascii="Trebuchet MS" w:hAnsi="Trebuchet MS"/>
          <w:iCs/>
          <w:sz w:val="19"/>
          <w:szCs w:val="19"/>
        </w:rPr>
        <w:t xml:space="preserve"> à la hausse observée au niveau de la production d’eau (+2,8%) sur un an.</w:t>
      </w:r>
    </w:p>
    <w:p w14:paraId="73A4BE63" w14:textId="77777777" w:rsidR="001376D8" w:rsidRPr="00EA64F4" w:rsidRDefault="001376D8" w:rsidP="001376D8">
      <w:pPr>
        <w:autoSpaceDE w:val="0"/>
        <w:autoSpaceDN w:val="0"/>
        <w:adjustRightInd w:val="0"/>
        <w:jc w:val="both"/>
        <w:rPr>
          <w:rFonts w:ascii="Trebuchet MS" w:hAnsi="Trebuchet MS"/>
          <w:sz w:val="2"/>
          <w:szCs w:val="19"/>
        </w:rPr>
      </w:pPr>
    </w:p>
    <w:p w14:paraId="1228D5BA" w14:textId="77777777" w:rsidR="001376D8" w:rsidRDefault="001376D8" w:rsidP="001376D8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Par rapport à l’année précédente l’activité dans les industries énergétiques a enregistré en moyenne annuelle une légère croissance de 1 point  en 2018. </w:t>
      </w:r>
    </w:p>
    <w:p w14:paraId="439BFA7D" w14:textId="77777777" w:rsidR="005D1DC3" w:rsidRPr="00EE49A2" w:rsidRDefault="005D1DC3" w:rsidP="005D1DC3">
      <w:pPr>
        <w:jc w:val="both"/>
        <w:rPr>
          <w:rFonts w:ascii="Trebuchet MS" w:hAnsi="Trebuchet MS"/>
          <w:iCs/>
          <w:sz w:val="19"/>
          <w:szCs w:val="19"/>
          <w:highlight w:val="yellow"/>
        </w:rPr>
      </w:pPr>
    </w:p>
    <w:p w14:paraId="51E576E9" w14:textId="77777777" w:rsidR="005D1DC3" w:rsidRPr="0042582B" w:rsidRDefault="00FC4E1E" w:rsidP="005D1DC3">
      <w:pPr>
        <w:spacing w:line="276" w:lineRule="auto"/>
        <w:jc w:val="both"/>
        <w:rPr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5779A29A" wp14:editId="705FE1C8">
            <wp:extent cx="2952750" cy="2238375"/>
            <wp:effectExtent l="0" t="0" r="0" b="9525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B0F98E4" w14:textId="77777777" w:rsidR="005D1DC3" w:rsidRDefault="005D1DC3" w:rsidP="005D1DC3">
      <w:pPr>
        <w:jc w:val="both"/>
      </w:pPr>
      <w:r w:rsidRPr="00FB7585">
        <w:rPr>
          <w:rFonts w:ascii="Trebuchet MS" w:hAnsi="Trebuchet MS"/>
          <w:b/>
          <w:sz w:val="16"/>
          <w:szCs w:val="16"/>
        </w:rPr>
        <w:t>Source</w:t>
      </w:r>
      <w:r w:rsidRPr="00FB7585">
        <w:rPr>
          <w:rFonts w:ascii="Trebuchet MS" w:hAnsi="Trebuchet MS"/>
          <w:sz w:val="16"/>
          <w:szCs w:val="16"/>
        </w:rPr>
        <w:t> : INSAE, DSEE</w:t>
      </w:r>
    </w:p>
    <w:p w14:paraId="50695146" w14:textId="77777777" w:rsidR="005D1DC3" w:rsidRPr="00F45247" w:rsidRDefault="005D1DC3" w:rsidP="005D1DC3">
      <w:pPr>
        <w:jc w:val="both"/>
        <w:rPr>
          <w:color w:val="FF0000"/>
          <w:sz w:val="36"/>
        </w:rPr>
      </w:pPr>
    </w:p>
    <w:p w14:paraId="735FBA60" w14:textId="77777777" w:rsidR="003D4F00" w:rsidRPr="00F45247" w:rsidRDefault="003D4F00" w:rsidP="005D1DC3">
      <w:pPr>
        <w:jc w:val="both"/>
        <w:rPr>
          <w:color w:val="FF0000"/>
          <w:sz w:val="48"/>
        </w:rPr>
        <w:sectPr w:rsidR="003D4F00" w:rsidRPr="00F45247" w:rsidSect="00EB1125">
          <w:footerReference w:type="default" r:id="rId17"/>
          <w:type w:val="continuous"/>
          <w:pgSz w:w="11906" w:h="16838"/>
          <w:pgMar w:top="1418" w:right="1106" w:bottom="1418" w:left="993" w:header="720" w:footer="284" w:gutter="0"/>
          <w:cols w:num="2" w:space="709"/>
          <w:titlePg/>
        </w:sectPr>
      </w:pPr>
    </w:p>
    <w:p w14:paraId="3A7DEDCF" w14:textId="77777777" w:rsidR="005D1DC3" w:rsidRDefault="005D1DC3" w:rsidP="005D1DC3">
      <w:pPr>
        <w:tabs>
          <w:tab w:val="left" w:pos="1365"/>
          <w:tab w:val="left" w:pos="5505"/>
        </w:tabs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La production </w:t>
      </w:r>
      <w:r w:rsidR="00EA20B2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extractive</w:t>
      </w:r>
      <w:r w:rsidR="005A6447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 </w:t>
      </w:r>
      <w:r w:rsidR="00EA64F4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se contracte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0C18FEA3" w14:textId="77777777" w:rsidR="005D1DC3" w:rsidRPr="00C95045" w:rsidRDefault="005D1DC3" w:rsidP="005D1DC3">
      <w:pPr>
        <w:spacing w:line="276" w:lineRule="auto"/>
        <w:jc w:val="both"/>
        <w:rPr>
          <w:rFonts w:ascii="Trebuchet MS" w:hAnsi="Trebuchet MS"/>
          <w:iCs/>
          <w:sz w:val="6"/>
          <w:szCs w:val="19"/>
        </w:rPr>
      </w:pPr>
    </w:p>
    <w:p w14:paraId="35ED5DED" w14:textId="77777777" w:rsidR="0086484D" w:rsidRPr="0086484D" w:rsidRDefault="007C77F2" w:rsidP="004955C6">
      <w:pPr>
        <w:autoSpaceDE w:val="0"/>
        <w:autoSpaceDN w:val="0"/>
        <w:adjustRightInd w:val="0"/>
        <w:jc w:val="both"/>
        <w:rPr>
          <w:rFonts w:ascii="Trebuchet MS" w:hAnsi="Trebuchet MS"/>
          <w:iCs/>
          <w:sz w:val="19"/>
          <w:szCs w:val="19"/>
        </w:rPr>
      </w:pPr>
      <w:r>
        <w:rPr>
          <w:rFonts w:ascii="Trebuchet MS" w:hAnsi="Trebuchet MS"/>
          <w:iCs/>
          <w:sz w:val="19"/>
          <w:szCs w:val="19"/>
        </w:rPr>
        <w:t>À la suite</w:t>
      </w:r>
      <w:r w:rsidR="005A6447">
        <w:rPr>
          <w:rFonts w:ascii="Trebuchet MS" w:hAnsi="Trebuchet MS"/>
          <w:iCs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de la hausse</w:t>
      </w:r>
      <w:r w:rsidR="003D3BF3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(+17,7</w:t>
      </w:r>
      <w:r w:rsidR="007B3643" w:rsidRPr="0086484D">
        <w:rPr>
          <w:rFonts w:ascii="Trebuchet MS" w:hAnsi="Trebuchet MS"/>
          <w:sz w:val="19"/>
          <w:szCs w:val="19"/>
        </w:rPr>
        <w:t xml:space="preserve">%) enregistrée </w:t>
      </w:r>
      <w:r w:rsidR="005D1DC3" w:rsidRPr="0086484D">
        <w:rPr>
          <w:rFonts w:ascii="Trebuchet MS" w:hAnsi="Trebuchet MS"/>
          <w:sz w:val="19"/>
          <w:szCs w:val="19"/>
        </w:rPr>
        <w:t xml:space="preserve">au </w:t>
      </w:r>
      <w:r>
        <w:rPr>
          <w:rFonts w:ascii="Trebuchet MS" w:hAnsi="Trebuchet MS"/>
          <w:sz w:val="19"/>
          <w:szCs w:val="19"/>
        </w:rPr>
        <w:t>troisième</w:t>
      </w:r>
      <w:r w:rsidR="00817D85" w:rsidRPr="0086484D">
        <w:rPr>
          <w:rFonts w:ascii="Trebuchet MS" w:hAnsi="Trebuchet MS"/>
          <w:sz w:val="19"/>
          <w:szCs w:val="19"/>
        </w:rPr>
        <w:t xml:space="preserve"> trimestre 2018</w:t>
      </w:r>
      <w:r w:rsidR="00D97D6A" w:rsidRPr="0086484D">
        <w:rPr>
          <w:rFonts w:ascii="Trebuchet MS" w:hAnsi="Trebuchet MS"/>
          <w:sz w:val="19"/>
          <w:szCs w:val="19"/>
        </w:rPr>
        <w:t>, l’activité extractive</w:t>
      </w:r>
      <w:r w:rsidR="005A6447">
        <w:rPr>
          <w:rFonts w:ascii="Trebuchet MS" w:hAnsi="Trebuchet MS"/>
          <w:sz w:val="19"/>
          <w:szCs w:val="19"/>
        </w:rPr>
        <w:t xml:space="preserve"> </w:t>
      </w:r>
      <w:r w:rsidR="00293479" w:rsidRPr="0086484D">
        <w:rPr>
          <w:rFonts w:ascii="Trebuchet MS" w:hAnsi="Trebuchet MS"/>
          <w:sz w:val="19"/>
          <w:szCs w:val="19"/>
        </w:rPr>
        <w:t>a</w:t>
      </w:r>
      <w:r w:rsidR="005D1DC3" w:rsidRPr="0086484D">
        <w:rPr>
          <w:rFonts w:ascii="Trebuchet MS" w:hAnsi="Trebuchet MS"/>
          <w:sz w:val="19"/>
          <w:szCs w:val="19"/>
        </w:rPr>
        <w:t xml:space="preserve"> connu </w:t>
      </w:r>
      <w:r w:rsidR="007B3643" w:rsidRPr="0086484D">
        <w:rPr>
          <w:rFonts w:ascii="Trebuchet MS" w:hAnsi="Trebuchet MS"/>
          <w:sz w:val="19"/>
          <w:szCs w:val="19"/>
        </w:rPr>
        <w:t xml:space="preserve">un </w:t>
      </w:r>
      <w:r>
        <w:rPr>
          <w:rFonts w:ascii="Trebuchet MS" w:hAnsi="Trebuchet MS"/>
          <w:sz w:val="19"/>
          <w:szCs w:val="19"/>
        </w:rPr>
        <w:t>recul</w:t>
      </w:r>
      <w:r w:rsidR="005A6447">
        <w:rPr>
          <w:rFonts w:ascii="Trebuchet MS" w:hAnsi="Trebuchet MS"/>
          <w:sz w:val="19"/>
          <w:szCs w:val="19"/>
        </w:rPr>
        <w:t xml:space="preserve"> </w:t>
      </w:r>
      <w:r w:rsidR="005D1DC3" w:rsidRPr="0086484D">
        <w:rPr>
          <w:rFonts w:ascii="Trebuchet MS" w:hAnsi="Trebuchet MS"/>
          <w:sz w:val="19"/>
          <w:szCs w:val="19"/>
        </w:rPr>
        <w:t xml:space="preserve">au </w:t>
      </w:r>
      <w:r w:rsidR="007B3643" w:rsidRPr="0086484D">
        <w:rPr>
          <w:rFonts w:ascii="Trebuchet MS" w:hAnsi="Trebuchet MS"/>
          <w:sz w:val="19"/>
          <w:szCs w:val="19"/>
        </w:rPr>
        <w:t>troisième</w:t>
      </w:r>
      <w:r w:rsidR="003D3BF3">
        <w:rPr>
          <w:rFonts w:ascii="Trebuchet MS" w:hAnsi="Trebuchet MS"/>
          <w:sz w:val="19"/>
          <w:szCs w:val="19"/>
        </w:rPr>
        <w:t xml:space="preserve"> </w:t>
      </w:r>
      <w:r w:rsidR="005D1DC3" w:rsidRPr="0086484D">
        <w:rPr>
          <w:rFonts w:ascii="Trebuchet MS" w:hAnsi="Trebuchet MS"/>
          <w:sz w:val="19"/>
          <w:szCs w:val="19"/>
        </w:rPr>
        <w:t>trimestre 2018 par rap</w:t>
      </w:r>
      <w:r w:rsidR="00817D85" w:rsidRPr="0086484D">
        <w:rPr>
          <w:rFonts w:ascii="Trebuchet MS" w:hAnsi="Trebuchet MS"/>
          <w:sz w:val="19"/>
          <w:szCs w:val="19"/>
        </w:rPr>
        <w:t xml:space="preserve">port au </w:t>
      </w:r>
      <w:r w:rsidR="007B3643" w:rsidRPr="0086484D">
        <w:rPr>
          <w:rFonts w:ascii="Trebuchet MS" w:hAnsi="Trebuchet MS"/>
          <w:sz w:val="19"/>
          <w:szCs w:val="19"/>
        </w:rPr>
        <w:t>trimestre précédent. Ainsi, la</w:t>
      </w:r>
      <w:r>
        <w:rPr>
          <w:rFonts w:ascii="Trebuchet MS" w:hAnsi="Trebuchet MS"/>
          <w:sz w:val="19"/>
          <w:szCs w:val="19"/>
        </w:rPr>
        <w:t xml:space="preserve"> contraction de la</w:t>
      </w:r>
      <w:r w:rsidR="007B3643" w:rsidRPr="0086484D">
        <w:rPr>
          <w:rFonts w:ascii="Trebuchet MS" w:hAnsi="Trebuchet MS"/>
          <w:sz w:val="19"/>
          <w:szCs w:val="19"/>
        </w:rPr>
        <w:t xml:space="preserve"> productio</w:t>
      </w:r>
      <w:r>
        <w:rPr>
          <w:rFonts w:ascii="Trebuchet MS" w:hAnsi="Trebuchet MS"/>
          <w:sz w:val="19"/>
          <w:szCs w:val="19"/>
        </w:rPr>
        <w:t>n extractive est ressortie de 1</w:t>
      </w:r>
      <w:r w:rsidR="007B3643" w:rsidRPr="0086484D">
        <w:rPr>
          <w:rFonts w:ascii="Trebuchet MS" w:hAnsi="Trebuchet MS"/>
          <w:sz w:val="19"/>
          <w:szCs w:val="19"/>
        </w:rPr>
        <w:t>,7% sur la période analysée.</w:t>
      </w:r>
      <w:r w:rsidR="003D3BF3">
        <w:rPr>
          <w:rFonts w:ascii="Trebuchet MS" w:hAnsi="Trebuchet MS"/>
          <w:sz w:val="19"/>
          <w:szCs w:val="19"/>
        </w:rPr>
        <w:t xml:space="preserve"> </w:t>
      </w:r>
      <w:r>
        <w:rPr>
          <w:rFonts w:ascii="Trebuchet MS" w:hAnsi="Trebuchet MS"/>
          <w:sz w:val="19"/>
          <w:szCs w:val="19"/>
        </w:rPr>
        <w:t>En revanche,</w:t>
      </w:r>
      <w:r w:rsidR="0086484D" w:rsidRPr="0086484D">
        <w:rPr>
          <w:rFonts w:ascii="Trebuchet MS" w:hAnsi="Trebuchet MS"/>
          <w:sz w:val="19"/>
          <w:szCs w:val="19"/>
        </w:rPr>
        <w:t xml:space="preserve"> elle est </w:t>
      </w:r>
      <w:r w:rsidR="0086484D" w:rsidRPr="0086484D">
        <w:rPr>
          <w:rFonts w:ascii="Trebuchet MS" w:hAnsi="Trebuchet MS"/>
          <w:iCs/>
          <w:sz w:val="19"/>
          <w:szCs w:val="19"/>
        </w:rPr>
        <w:t xml:space="preserve">marquée </w:t>
      </w:r>
      <w:r w:rsidR="001F7C63">
        <w:rPr>
          <w:rFonts w:ascii="Trebuchet MS" w:hAnsi="Trebuchet MS"/>
          <w:iCs/>
          <w:sz w:val="19"/>
          <w:szCs w:val="19"/>
        </w:rPr>
        <w:t>par un</w:t>
      </w:r>
      <w:r w:rsidR="00D05EC0">
        <w:rPr>
          <w:rFonts w:ascii="Trebuchet MS" w:hAnsi="Trebuchet MS"/>
          <w:iCs/>
          <w:sz w:val="19"/>
          <w:szCs w:val="19"/>
        </w:rPr>
        <w:t>e</w:t>
      </w:r>
      <w:r w:rsidR="003D3BF3">
        <w:rPr>
          <w:rFonts w:ascii="Trebuchet MS" w:hAnsi="Trebuchet MS"/>
          <w:iCs/>
          <w:sz w:val="19"/>
          <w:szCs w:val="19"/>
        </w:rPr>
        <w:t xml:space="preserve"> </w:t>
      </w:r>
      <w:r w:rsidR="00D05EC0">
        <w:rPr>
          <w:rFonts w:ascii="Trebuchet MS" w:hAnsi="Trebuchet MS"/>
          <w:iCs/>
          <w:sz w:val="19"/>
          <w:szCs w:val="19"/>
        </w:rPr>
        <w:t>remarquable croissance positive (+237</w:t>
      </w:r>
      <w:r w:rsidR="00830ADC">
        <w:rPr>
          <w:rFonts w:ascii="Trebuchet MS" w:hAnsi="Trebuchet MS"/>
          <w:iCs/>
          <w:sz w:val="19"/>
          <w:szCs w:val="19"/>
        </w:rPr>
        <w:t>,4</w:t>
      </w:r>
      <w:r w:rsidR="00D05EC0">
        <w:rPr>
          <w:rFonts w:ascii="Trebuchet MS" w:hAnsi="Trebuchet MS"/>
          <w:iCs/>
          <w:sz w:val="19"/>
          <w:szCs w:val="19"/>
        </w:rPr>
        <w:t>%)</w:t>
      </w:r>
      <w:r w:rsidR="003D3BF3">
        <w:rPr>
          <w:rFonts w:ascii="Trebuchet MS" w:hAnsi="Trebuchet MS"/>
          <w:iCs/>
          <w:sz w:val="19"/>
          <w:szCs w:val="19"/>
        </w:rPr>
        <w:t xml:space="preserve"> </w:t>
      </w:r>
      <w:r w:rsidR="0086484D" w:rsidRPr="0086484D">
        <w:rPr>
          <w:rFonts w:ascii="Trebuchet MS" w:hAnsi="Trebuchet MS"/>
          <w:iCs/>
          <w:sz w:val="19"/>
          <w:szCs w:val="19"/>
        </w:rPr>
        <w:t>en glissement annuel</w:t>
      </w:r>
      <w:r w:rsidR="00D05EC0">
        <w:rPr>
          <w:rFonts w:ascii="Trebuchet MS" w:hAnsi="Trebuchet MS"/>
          <w:iCs/>
          <w:sz w:val="19"/>
          <w:szCs w:val="19"/>
        </w:rPr>
        <w:t xml:space="preserve"> ; ce qui s’explique par </w:t>
      </w:r>
      <w:r w:rsidR="00D05EC0" w:rsidRPr="00D05EC0">
        <w:rPr>
          <w:rFonts w:ascii="Trebuchet MS" w:hAnsi="Trebuchet MS"/>
          <w:iCs/>
          <w:sz w:val="19"/>
          <w:szCs w:val="19"/>
        </w:rPr>
        <w:t xml:space="preserve">l'arrêt des machines de production suite à une panne au cours </w:t>
      </w:r>
      <w:r w:rsidR="00D05EC0">
        <w:rPr>
          <w:rFonts w:ascii="Trebuchet MS" w:hAnsi="Trebuchet MS"/>
          <w:iCs/>
          <w:sz w:val="19"/>
          <w:szCs w:val="19"/>
        </w:rPr>
        <w:t xml:space="preserve">de la période. Par conséquent les </w:t>
      </w:r>
      <w:r w:rsidR="00D05EC0" w:rsidRPr="00D05EC0">
        <w:rPr>
          <w:rFonts w:ascii="Trebuchet MS" w:hAnsi="Trebuchet MS"/>
          <w:iCs/>
          <w:sz w:val="19"/>
          <w:szCs w:val="19"/>
        </w:rPr>
        <w:t>usine</w:t>
      </w:r>
      <w:r w:rsidR="00D05EC0">
        <w:rPr>
          <w:rFonts w:ascii="Trebuchet MS" w:hAnsi="Trebuchet MS"/>
          <w:iCs/>
          <w:sz w:val="19"/>
          <w:szCs w:val="19"/>
        </w:rPr>
        <w:t>s</w:t>
      </w:r>
      <w:r w:rsidR="00D05EC0" w:rsidRPr="00D05EC0">
        <w:rPr>
          <w:rFonts w:ascii="Trebuchet MS" w:hAnsi="Trebuchet MS"/>
          <w:iCs/>
          <w:sz w:val="19"/>
          <w:szCs w:val="19"/>
        </w:rPr>
        <w:t xml:space="preserve"> n'</w:t>
      </w:r>
      <w:r w:rsidR="00D05EC0">
        <w:rPr>
          <w:rFonts w:ascii="Trebuchet MS" w:hAnsi="Trebuchet MS"/>
          <w:iCs/>
          <w:sz w:val="19"/>
          <w:szCs w:val="19"/>
        </w:rPr>
        <w:t>ont</w:t>
      </w:r>
      <w:r w:rsidR="00D05EC0" w:rsidRPr="00D05EC0">
        <w:rPr>
          <w:rFonts w:ascii="Trebuchet MS" w:hAnsi="Trebuchet MS"/>
          <w:iCs/>
          <w:sz w:val="19"/>
          <w:szCs w:val="19"/>
        </w:rPr>
        <w:t xml:space="preserve"> pas fonctionné sur pratiquement deux mois au cours du 4</w:t>
      </w:r>
      <w:r w:rsidR="00D05EC0" w:rsidRPr="003D3BF3">
        <w:rPr>
          <w:rFonts w:ascii="Trebuchet MS" w:hAnsi="Trebuchet MS"/>
          <w:iCs/>
          <w:sz w:val="19"/>
          <w:szCs w:val="19"/>
          <w:vertAlign w:val="superscript"/>
        </w:rPr>
        <w:t>ème</w:t>
      </w:r>
      <w:r w:rsidR="003D3BF3">
        <w:rPr>
          <w:rFonts w:ascii="Trebuchet MS" w:hAnsi="Trebuchet MS"/>
          <w:iCs/>
          <w:sz w:val="19"/>
          <w:szCs w:val="19"/>
        </w:rPr>
        <w:t xml:space="preserve"> </w:t>
      </w:r>
      <w:r w:rsidR="00D05EC0" w:rsidRPr="00D05EC0">
        <w:rPr>
          <w:rFonts w:ascii="Trebuchet MS" w:hAnsi="Trebuchet MS"/>
          <w:iCs/>
          <w:sz w:val="19"/>
          <w:szCs w:val="19"/>
        </w:rPr>
        <w:t>trimestre 2017</w:t>
      </w:r>
      <w:r w:rsidR="00000799">
        <w:rPr>
          <w:rFonts w:ascii="Trebuchet MS" w:hAnsi="Trebuchet MS"/>
          <w:iCs/>
          <w:sz w:val="19"/>
          <w:szCs w:val="19"/>
        </w:rPr>
        <w:t>.</w:t>
      </w:r>
    </w:p>
    <w:p w14:paraId="6E39151A" w14:textId="77777777" w:rsidR="00112B94" w:rsidRPr="0086484D" w:rsidRDefault="00D05EC0" w:rsidP="004955C6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Par rapport à l’année précédente l’activité dans les industries extractives a enregistré en moyenne annuelle une forte croissance de 29,4%  en 2018. </w:t>
      </w:r>
    </w:p>
    <w:p w14:paraId="1EEB75A4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</w:p>
    <w:p w14:paraId="4A0CDD55" w14:textId="77777777" w:rsidR="005D1DC3" w:rsidRPr="007A1470" w:rsidRDefault="004015F1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</w:pP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L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’activité dans l</w:t>
      </w:r>
      <w:r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es autres industries </w:t>
      </w:r>
      <w:r w:rsidR="00830ADC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 xml:space="preserve">poursuit sa </w:t>
      </w:r>
      <w:r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remont</w:t>
      </w:r>
      <w:r w:rsidR="00830ADC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ée</w:t>
      </w:r>
      <w:r w:rsidR="005D1DC3" w:rsidRPr="007A1470">
        <w:rPr>
          <w:rFonts w:ascii="Arial,BoldItalic" w:hAnsi="Arial,BoldItalic" w:cs="Arial,BoldItalic"/>
          <w:b/>
          <w:bCs/>
          <w:i/>
          <w:iCs/>
          <w:color w:val="1F497D" w:themeColor="text2"/>
          <w:sz w:val="20"/>
          <w:szCs w:val="20"/>
          <w:lang w:bidi="ar-SA"/>
        </w:rPr>
        <w:t>...</w:t>
      </w:r>
    </w:p>
    <w:p w14:paraId="6A93EE07" w14:textId="77777777" w:rsidR="005D1DC3" w:rsidRPr="00022768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color w:val="1F497D" w:themeColor="text2"/>
          <w:sz w:val="8"/>
          <w:szCs w:val="20"/>
          <w:lang w:bidi="ar-SA"/>
        </w:rPr>
      </w:pPr>
    </w:p>
    <w:p w14:paraId="481F6ED0" w14:textId="2741F2EA" w:rsidR="005D1DC3" w:rsidRPr="002B1DF2" w:rsidRDefault="005D1DC3" w:rsidP="004955C6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 w:rsidRPr="002B1DF2">
        <w:rPr>
          <w:rFonts w:ascii="Trebuchet MS" w:hAnsi="Trebuchet MS"/>
          <w:sz w:val="19"/>
          <w:szCs w:val="19"/>
        </w:rPr>
        <w:t xml:space="preserve">L’activité dans les autres industries a rompu avec sa </w:t>
      </w:r>
      <w:r w:rsidR="00473ED3">
        <w:rPr>
          <w:rFonts w:ascii="Trebuchet MS" w:hAnsi="Trebuchet MS"/>
          <w:sz w:val="19"/>
          <w:szCs w:val="19"/>
        </w:rPr>
        <w:t>dépression</w:t>
      </w:r>
      <w:r w:rsidRPr="002B1DF2">
        <w:rPr>
          <w:rFonts w:ascii="Trebuchet MS" w:hAnsi="Trebuchet MS"/>
          <w:sz w:val="19"/>
          <w:szCs w:val="19"/>
        </w:rPr>
        <w:t xml:space="preserve"> du </w:t>
      </w:r>
      <w:r w:rsidR="00FE5483" w:rsidRPr="002B1DF2">
        <w:rPr>
          <w:rFonts w:ascii="Trebuchet MS" w:hAnsi="Trebuchet MS"/>
          <w:sz w:val="19"/>
          <w:szCs w:val="19"/>
        </w:rPr>
        <w:t>deuxième</w:t>
      </w:r>
      <w:r w:rsidR="003D3BF3">
        <w:rPr>
          <w:rFonts w:ascii="Trebuchet MS" w:hAnsi="Trebuchet MS"/>
          <w:sz w:val="19"/>
          <w:szCs w:val="19"/>
        </w:rPr>
        <w:t xml:space="preserve"> </w:t>
      </w:r>
      <w:r w:rsidRPr="002B1DF2">
        <w:rPr>
          <w:rFonts w:ascii="Trebuchet MS" w:hAnsi="Trebuchet MS"/>
          <w:sz w:val="19"/>
          <w:szCs w:val="19"/>
        </w:rPr>
        <w:t>trimestre 201</w:t>
      </w:r>
      <w:r w:rsidR="00A35EFF" w:rsidRPr="002B1DF2">
        <w:rPr>
          <w:rFonts w:ascii="Trebuchet MS" w:hAnsi="Trebuchet MS"/>
          <w:sz w:val="19"/>
          <w:szCs w:val="19"/>
        </w:rPr>
        <w:t>8</w:t>
      </w:r>
      <w:r w:rsidRPr="002B1DF2">
        <w:rPr>
          <w:rFonts w:ascii="Trebuchet MS" w:hAnsi="Trebuchet MS"/>
          <w:sz w:val="19"/>
          <w:szCs w:val="19"/>
        </w:rPr>
        <w:t xml:space="preserve">, pour </w:t>
      </w:r>
      <w:r w:rsidR="00A35EFF" w:rsidRPr="002B1DF2">
        <w:rPr>
          <w:rFonts w:ascii="Trebuchet MS" w:hAnsi="Trebuchet MS"/>
          <w:sz w:val="19"/>
          <w:szCs w:val="19"/>
        </w:rPr>
        <w:t>enregistrer</w:t>
      </w:r>
      <w:r w:rsidRPr="002B1DF2">
        <w:rPr>
          <w:rFonts w:ascii="Trebuchet MS" w:hAnsi="Trebuchet MS"/>
          <w:sz w:val="19"/>
          <w:szCs w:val="19"/>
        </w:rPr>
        <w:t xml:space="preserve">  une </w:t>
      </w:r>
      <w:r w:rsidR="005B4EF3" w:rsidRPr="002B1DF2">
        <w:rPr>
          <w:rFonts w:ascii="Trebuchet MS" w:hAnsi="Trebuchet MS"/>
          <w:sz w:val="19"/>
          <w:szCs w:val="19"/>
        </w:rPr>
        <w:t>remontée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7E7A11">
        <w:rPr>
          <w:rFonts w:ascii="Trebuchet MS" w:hAnsi="Trebuchet MS"/>
          <w:sz w:val="19"/>
          <w:szCs w:val="19"/>
        </w:rPr>
        <w:t xml:space="preserve">successive </w:t>
      </w:r>
      <w:r w:rsidR="00A35EFF" w:rsidRPr="002B1DF2">
        <w:rPr>
          <w:rFonts w:ascii="Trebuchet MS" w:hAnsi="Trebuchet MS"/>
          <w:sz w:val="19"/>
          <w:szCs w:val="19"/>
        </w:rPr>
        <w:t>au</w:t>
      </w:r>
      <w:r w:rsidR="00447DC4">
        <w:rPr>
          <w:rFonts w:ascii="Trebuchet MS" w:hAnsi="Trebuchet MS"/>
          <w:sz w:val="19"/>
          <w:szCs w:val="19"/>
        </w:rPr>
        <w:t>x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7E7A11">
        <w:rPr>
          <w:rFonts w:ascii="Trebuchet MS" w:hAnsi="Trebuchet MS"/>
          <w:sz w:val="19"/>
          <w:szCs w:val="19"/>
        </w:rPr>
        <w:t>3</w:t>
      </w:r>
      <w:r w:rsidR="007E7A11" w:rsidRPr="007E7A11">
        <w:rPr>
          <w:rFonts w:ascii="Trebuchet MS" w:hAnsi="Trebuchet MS"/>
          <w:sz w:val="19"/>
          <w:szCs w:val="19"/>
          <w:vertAlign w:val="superscript"/>
        </w:rPr>
        <w:t>ème</w:t>
      </w:r>
      <w:r w:rsidR="007E7A11">
        <w:rPr>
          <w:rFonts w:ascii="Trebuchet MS" w:hAnsi="Trebuchet MS"/>
          <w:sz w:val="19"/>
          <w:szCs w:val="19"/>
        </w:rPr>
        <w:t xml:space="preserve"> et 4</w:t>
      </w:r>
      <w:r w:rsidR="007E7A11" w:rsidRPr="007E7A11">
        <w:rPr>
          <w:rFonts w:ascii="Trebuchet MS" w:hAnsi="Trebuchet MS"/>
          <w:sz w:val="19"/>
          <w:szCs w:val="19"/>
          <w:vertAlign w:val="superscript"/>
        </w:rPr>
        <w:t>ème</w:t>
      </w:r>
      <w:r w:rsidR="00BF7870" w:rsidRPr="002B1DF2">
        <w:rPr>
          <w:rFonts w:ascii="Trebuchet MS" w:hAnsi="Trebuchet MS"/>
          <w:sz w:val="19"/>
          <w:szCs w:val="19"/>
        </w:rPr>
        <w:t xml:space="preserve"> trimestre</w:t>
      </w:r>
      <w:r w:rsidR="007E7A11">
        <w:rPr>
          <w:rFonts w:ascii="Trebuchet MS" w:hAnsi="Trebuchet MS"/>
          <w:sz w:val="19"/>
          <w:szCs w:val="19"/>
        </w:rPr>
        <w:t>s</w:t>
      </w:r>
      <w:r w:rsidR="00BF7870" w:rsidRPr="002B1DF2">
        <w:rPr>
          <w:rFonts w:ascii="Trebuchet MS" w:hAnsi="Trebuchet MS"/>
          <w:sz w:val="19"/>
          <w:szCs w:val="19"/>
        </w:rPr>
        <w:t xml:space="preserve"> 2018.En </w:t>
      </w:r>
      <w:r w:rsidRPr="002B1DF2">
        <w:rPr>
          <w:rFonts w:ascii="Trebuchet MS" w:hAnsi="Trebuchet MS"/>
          <w:sz w:val="19"/>
          <w:szCs w:val="19"/>
        </w:rPr>
        <w:t>effet</w:t>
      </w:r>
      <w:r w:rsidR="00BF7870" w:rsidRPr="002B1DF2">
        <w:rPr>
          <w:rFonts w:ascii="Trebuchet MS" w:hAnsi="Trebuchet MS"/>
          <w:sz w:val="19"/>
          <w:szCs w:val="19"/>
        </w:rPr>
        <w:t xml:space="preserve">, on constate </w:t>
      </w:r>
      <w:r w:rsidRPr="002B1DF2">
        <w:rPr>
          <w:rFonts w:ascii="Trebuchet MS" w:hAnsi="Trebuchet MS"/>
          <w:sz w:val="19"/>
          <w:szCs w:val="19"/>
        </w:rPr>
        <w:t xml:space="preserve">une </w:t>
      </w:r>
      <w:r w:rsidR="007E7A11">
        <w:rPr>
          <w:rFonts w:ascii="Trebuchet MS" w:hAnsi="Trebuchet MS"/>
          <w:sz w:val="19"/>
          <w:szCs w:val="19"/>
        </w:rPr>
        <w:t>légère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5B4EF3" w:rsidRPr="002B1DF2">
        <w:rPr>
          <w:rFonts w:ascii="Trebuchet MS" w:hAnsi="Trebuchet MS"/>
          <w:sz w:val="19"/>
          <w:szCs w:val="19"/>
        </w:rPr>
        <w:t xml:space="preserve">hausse </w:t>
      </w:r>
      <w:r w:rsidRPr="002B1DF2">
        <w:rPr>
          <w:rFonts w:ascii="Trebuchet MS" w:hAnsi="Trebuchet MS"/>
          <w:sz w:val="19"/>
          <w:szCs w:val="19"/>
        </w:rPr>
        <w:t xml:space="preserve">en glissement trimestriel de </w:t>
      </w:r>
      <w:r w:rsidR="007E7A11">
        <w:rPr>
          <w:rFonts w:ascii="Trebuchet MS" w:hAnsi="Trebuchet MS"/>
          <w:sz w:val="19"/>
          <w:szCs w:val="19"/>
        </w:rPr>
        <w:t>0</w:t>
      </w:r>
      <w:r w:rsidR="00BF7870" w:rsidRPr="002B1DF2">
        <w:rPr>
          <w:rFonts w:ascii="Trebuchet MS" w:hAnsi="Trebuchet MS"/>
          <w:sz w:val="19"/>
          <w:szCs w:val="19"/>
        </w:rPr>
        <w:t>,</w:t>
      </w:r>
      <w:r w:rsidR="007E7A11">
        <w:rPr>
          <w:rFonts w:ascii="Trebuchet MS" w:hAnsi="Trebuchet MS"/>
          <w:sz w:val="19"/>
          <w:szCs w:val="19"/>
        </w:rPr>
        <w:t>4</w:t>
      </w:r>
      <w:r w:rsidRPr="002B1DF2">
        <w:rPr>
          <w:rFonts w:ascii="Trebuchet MS" w:hAnsi="Trebuchet MS"/>
          <w:sz w:val="19"/>
          <w:szCs w:val="19"/>
        </w:rPr>
        <w:t xml:space="preserve">% de la production des autres industries. </w:t>
      </w:r>
      <w:r w:rsidR="005B4EF3" w:rsidRPr="002B1DF2">
        <w:rPr>
          <w:rFonts w:ascii="Trebuchet MS" w:hAnsi="Trebuchet MS"/>
          <w:sz w:val="19"/>
          <w:szCs w:val="19"/>
        </w:rPr>
        <w:t xml:space="preserve">Cette </w:t>
      </w:r>
      <w:r w:rsidR="001C75A2">
        <w:rPr>
          <w:rFonts w:ascii="Trebuchet MS" w:hAnsi="Trebuchet MS"/>
          <w:sz w:val="19"/>
          <w:szCs w:val="19"/>
        </w:rPr>
        <w:t xml:space="preserve">hausse </w:t>
      </w:r>
      <w:r w:rsidR="009E5C7E" w:rsidRPr="002B1DF2">
        <w:rPr>
          <w:rFonts w:ascii="Trebuchet MS" w:hAnsi="Trebuchet MS"/>
          <w:sz w:val="19"/>
          <w:szCs w:val="19"/>
        </w:rPr>
        <w:t xml:space="preserve">observée </w:t>
      </w:r>
      <w:r w:rsidRPr="002B1DF2">
        <w:rPr>
          <w:rFonts w:ascii="Trebuchet MS" w:hAnsi="Trebuchet MS"/>
          <w:sz w:val="19"/>
          <w:szCs w:val="19"/>
        </w:rPr>
        <w:t xml:space="preserve">est imputable à </w:t>
      </w:r>
      <w:r w:rsidR="00BF7870" w:rsidRPr="002B1DF2">
        <w:rPr>
          <w:rFonts w:ascii="Trebuchet MS" w:hAnsi="Trebuchet MS"/>
          <w:sz w:val="19"/>
          <w:szCs w:val="19"/>
        </w:rPr>
        <w:t xml:space="preserve">la </w:t>
      </w:r>
      <w:r w:rsidR="002B1DF2" w:rsidRPr="002B1DF2">
        <w:rPr>
          <w:rFonts w:ascii="Trebuchet MS" w:hAnsi="Trebuchet MS"/>
          <w:sz w:val="19"/>
          <w:szCs w:val="19"/>
        </w:rPr>
        <w:t>hausse</w:t>
      </w:r>
      <w:r w:rsidRPr="002B1DF2">
        <w:rPr>
          <w:rFonts w:ascii="Trebuchet MS" w:hAnsi="Trebuchet MS"/>
          <w:sz w:val="19"/>
          <w:szCs w:val="19"/>
        </w:rPr>
        <w:t xml:space="preserve"> notée au niveau de la production du fer à béton (</w:t>
      </w:r>
      <w:r w:rsidR="002B1DF2" w:rsidRPr="002B1DF2">
        <w:rPr>
          <w:rFonts w:ascii="Trebuchet MS" w:hAnsi="Trebuchet MS"/>
          <w:sz w:val="19"/>
          <w:szCs w:val="19"/>
        </w:rPr>
        <w:t>+</w:t>
      </w:r>
      <w:r w:rsidR="00E34381">
        <w:rPr>
          <w:rFonts w:ascii="Trebuchet MS" w:hAnsi="Trebuchet MS"/>
          <w:sz w:val="19"/>
          <w:szCs w:val="19"/>
        </w:rPr>
        <w:t>0</w:t>
      </w:r>
      <w:r w:rsidRPr="002B1DF2">
        <w:rPr>
          <w:rFonts w:ascii="Trebuchet MS" w:hAnsi="Trebuchet MS"/>
          <w:sz w:val="19"/>
          <w:szCs w:val="19"/>
        </w:rPr>
        <w:t>,</w:t>
      </w:r>
      <w:r w:rsidR="00E34381">
        <w:rPr>
          <w:rFonts w:ascii="Trebuchet MS" w:hAnsi="Trebuchet MS"/>
          <w:sz w:val="19"/>
          <w:szCs w:val="19"/>
        </w:rPr>
        <w:t>1</w:t>
      </w:r>
      <w:r w:rsidR="002B1DF2" w:rsidRPr="002B1DF2">
        <w:rPr>
          <w:rFonts w:ascii="Trebuchet MS" w:hAnsi="Trebuchet MS"/>
          <w:sz w:val="19"/>
          <w:szCs w:val="19"/>
        </w:rPr>
        <w:t>%</w:t>
      </w:r>
      <w:r w:rsidRPr="002B1DF2">
        <w:rPr>
          <w:rFonts w:ascii="Trebuchet MS" w:hAnsi="Trebuchet MS"/>
          <w:sz w:val="19"/>
          <w:szCs w:val="19"/>
        </w:rPr>
        <w:t>)</w:t>
      </w:r>
      <w:r w:rsidR="002B1DF2" w:rsidRPr="002B1DF2">
        <w:rPr>
          <w:rFonts w:ascii="Trebuchet MS" w:hAnsi="Trebuchet MS"/>
          <w:sz w:val="19"/>
          <w:szCs w:val="19"/>
        </w:rPr>
        <w:t>, de</w:t>
      </w:r>
      <w:r w:rsidR="00E34381">
        <w:rPr>
          <w:rFonts w:ascii="Trebuchet MS" w:hAnsi="Trebuchet MS"/>
          <w:sz w:val="19"/>
          <w:szCs w:val="19"/>
        </w:rPr>
        <w:t>s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E34381">
        <w:rPr>
          <w:rFonts w:ascii="Trebuchet MS" w:hAnsi="Trebuchet MS"/>
          <w:sz w:val="19"/>
          <w:szCs w:val="19"/>
        </w:rPr>
        <w:t>pointes</w:t>
      </w:r>
      <w:r w:rsidR="002B1DF2" w:rsidRPr="002B1DF2">
        <w:rPr>
          <w:rFonts w:ascii="Trebuchet MS" w:hAnsi="Trebuchet MS"/>
          <w:sz w:val="19"/>
          <w:szCs w:val="19"/>
        </w:rPr>
        <w:t xml:space="preserve"> (+</w:t>
      </w:r>
      <w:r w:rsidR="00E34381">
        <w:rPr>
          <w:rFonts w:ascii="Trebuchet MS" w:hAnsi="Trebuchet MS"/>
          <w:sz w:val="19"/>
          <w:szCs w:val="19"/>
        </w:rPr>
        <w:t>11</w:t>
      </w:r>
      <w:r w:rsidR="002B1DF2" w:rsidRPr="002B1DF2">
        <w:rPr>
          <w:rFonts w:ascii="Trebuchet MS" w:hAnsi="Trebuchet MS"/>
          <w:sz w:val="19"/>
          <w:szCs w:val="19"/>
        </w:rPr>
        <w:t>8,</w:t>
      </w:r>
      <w:r w:rsidR="00E34381">
        <w:rPr>
          <w:rFonts w:ascii="Trebuchet MS" w:hAnsi="Trebuchet MS"/>
          <w:sz w:val="19"/>
          <w:szCs w:val="19"/>
        </w:rPr>
        <w:t>8</w:t>
      </w:r>
      <w:r w:rsidR="002B1DF2" w:rsidRPr="002B1DF2">
        <w:rPr>
          <w:rFonts w:ascii="Trebuchet MS" w:hAnsi="Trebuchet MS"/>
          <w:sz w:val="19"/>
          <w:szCs w:val="19"/>
        </w:rPr>
        <w:t>%) puis d</w:t>
      </w:r>
      <w:r w:rsidR="00E34381">
        <w:rPr>
          <w:rFonts w:ascii="Trebuchet MS" w:hAnsi="Trebuchet MS"/>
          <w:sz w:val="19"/>
          <w:szCs w:val="19"/>
        </w:rPr>
        <w:t>u</w:t>
      </w:r>
      <w:r w:rsidR="00447DC4">
        <w:rPr>
          <w:rFonts w:ascii="Trebuchet MS" w:hAnsi="Trebuchet MS"/>
          <w:sz w:val="19"/>
          <w:szCs w:val="19"/>
        </w:rPr>
        <w:t xml:space="preserve"> </w:t>
      </w:r>
      <w:r w:rsidR="00E34381">
        <w:rPr>
          <w:rFonts w:ascii="Trebuchet MS" w:hAnsi="Trebuchet MS"/>
          <w:sz w:val="19"/>
          <w:szCs w:val="19"/>
        </w:rPr>
        <w:t>ciment (+10,1%)</w:t>
      </w:r>
      <w:r w:rsidR="002B1DF2" w:rsidRPr="002B1DF2">
        <w:rPr>
          <w:rFonts w:ascii="Trebuchet MS" w:hAnsi="Trebuchet MS"/>
          <w:sz w:val="19"/>
          <w:szCs w:val="19"/>
        </w:rPr>
        <w:t>.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A3168F">
        <w:rPr>
          <w:rFonts w:ascii="Trebuchet MS" w:hAnsi="Trebuchet MS"/>
          <w:sz w:val="19"/>
          <w:szCs w:val="19"/>
        </w:rPr>
        <w:t>En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A3168F">
        <w:rPr>
          <w:rFonts w:ascii="Trebuchet MS" w:hAnsi="Trebuchet MS"/>
          <w:sz w:val="19"/>
          <w:szCs w:val="19"/>
        </w:rPr>
        <w:t>revanche</w:t>
      </w:r>
      <w:r w:rsidRPr="002B1DF2">
        <w:rPr>
          <w:rFonts w:ascii="Trebuchet MS" w:hAnsi="Trebuchet MS"/>
          <w:sz w:val="19"/>
          <w:szCs w:val="19"/>
        </w:rPr>
        <w:t xml:space="preserve">, l’activité dans les autres industries a </w:t>
      </w:r>
      <w:r w:rsidR="00E34381">
        <w:rPr>
          <w:rFonts w:ascii="Trebuchet MS" w:hAnsi="Trebuchet MS"/>
          <w:sz w:val="19"/>
          <w:szCs w:val="19"/>
        </w:rPr>
        <w:t>fortement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E34381">
        <w:rPr>
          <w:rFonts w:ascii="Trebuchet MS" w:hAnsi="Trebuchet MS"/>
          <w:sz w:val="19"/>
          <w:szCs w:val="19"/>
        </w:rPr>
        <w:t>cru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2B1DF2" w:rsidRPr="002B1DF2">
        <w:rPr>
          <w:rFonts w:ascii="Trebuchet MS" w:hAnsi="Trebuchet MS"/>
          <w:sz w:val="19"/>
          <w:szCs w:val="19"/>
        </w:rPr>
        <w:t xml:space="preserve">de </w:t>
      </w:r>
      <w:r w:rsidR="00E34381">
        <w:rPr>
          <w:rFonts w:ascii="Trebuchet MS" w:hAnsi="Trebuchet MS"/>
          <w:sz w:val="19"/>
          <w:szCs w:val="19"/>
        </w:rPr>
        <w:t>4</w:t>
      </w:r>
      <w:r w:rsidR="002B1DF2" w:rsidRPr="002B1DF2">
        <w:rPr>
          <w:rFonts w:ascii="Trebuchet MS" w:hAnsi="Trebuchet MS"/>
          <w:sz w:val="19"/>
          <w:szCs w:val="19"/>
        </w:rPr>
        <w:t>,</w:t>
      </w:r>
      <w:r w:rsidR="00E34381">
        <w:rPr>
          <w:rFonts w:ascii="Trebuchet MS" w:hAnsi="Trebuchet MS"/>
          <w:sz w:val="19"/>
          <w:szCs w:val="19"/>
        </w:rPr>
        <w:t>4</w:t>
      </w:r>
      <w:r w:rsidR="00A3168F">
        <w:rPr>
          <w:rFonts w:ascii="Trebuchet MS" w:hAnsi="Trebuchet MS"/>
          <w:sz w:val="19"/>
          <w:szCs w:val="19"/>
        </w:rPr>
        <w:t>%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BF7870" w:rsidRPr="002B1DF2">
        <w:rPr>
          <w:rFonts w:ascii="Trebuchet MS" w:hAnsi="Trebuchet MS"/>
          <w:sz w:val="19"/>
          <w:szCs w:val="19"/>
        </w:rPr>
        <w:t>sur une année</w:t>
      </w:r>
      <w:r w:rsidRPr="002B1DF2">
        <w:rPr>
          <w:rFonts w:ascii="Trebuchet MS" w:hAnsi="Trebuchet MS"/>
          <w:sz w:val="19"/>
          <w:szCs w:val="19"/>
        </w:rPr>
        <w:t xml:space="preserve">. </w:t>
      </w:r>
      <w:r w:rsidR="00451968">
        <w:rPr>
          <w:rFonts w:ascii="Trebuchet MS" w:hAnsi="Trebuchet MS"/>
          <w:sz w:val="19"/>
          <w:szCs w:val="19"/>
        </w:rPr>
        <w:t xml:space="preserve">Ceci </w:t>
      </w:r>
      <w:r w:rsidR="00A3168F">
        <w:rPr>
          <w:rFonts w:ascii="Trebuchet MS" w:hAnsi="Trebuchet MS"/>
          <w:sz w:val="19"/>
          <w:szCs w:val="19"/>
        </w:rPr>
        <w:t xml:space="preserve">serait la résultante de </w:t>
      </w:r>
      <w:r w:rsidR="00451968">
        <w:rPr>
          <w:rFonts w:ascii="Trebuchet MS" w:hAnsi="Trebuchet MS"/>
          <w:sz w:val="19"/>
          <w:szCs w:val="19"/>
        </w:rPr>
        <w:t xml:space="preserve">la forte </w:t>
      </w:r>
      <w:r w:rsidR="00E34381">
        <w:rPr>
          <w:rFonts w:ascii="Trebuchet MS" w:hAnsi="Trebuchet MS"/>
          <w:sz w:val="19"/>
          <w:szCs w:val="19"/>
        </w:rPr>
        <w:t>hausse de la production de ciments (</w:t>
      </w:r>
      <w:r w:rsidR="00451968">
        <w:rPr>
          <w:rFonts w:ascii="Trebuchet MS" w:hAnsi="Trebuchet MS"/>
          <w:sz w:val="19"/>
          <w:szCs w:val="19"/>
        </w:rPr>
        <w:t>9,4%)</w:t>
      </w:r>
      <w:r w:rsidR="00E34381">
        <w:rPr>
          <w:rFonts w:ascii="Trebuchet MS" w:hAnsi="Trebuchet MS"/>
          <w:sz w:val="19"/>
          <w:szCs w:val="19"/>
        </w:rPr>
        <w:t>,</w:t>
      </w:r>
      <w:r w:rsidR="00447DC4">
        <w:rPr>
          <w:rFonts w:ascii="Trebuchet MS" w:hAnsi="Trebuchet MS"/>
          <w:sz w:val="19"/>
          <w:szCs w:val="19"/>
        </w:rPr>
        <w:t xml:space="preserve"> </w:t>
      </w:r>
      <w:r w:rsidR="00E34381">
        <w:rPr>
          <w:rFonts w:ascii="Trebuchet MS" w:hAnsi="Trebuchet MS"/>
          <w:sz w:val="19"/>
          <w:szCs w:val="19"/>
        </w:rPr>
        <w:t>de fer à béton</w:t>
      </w:r>
      <w:r w:rsidR="001C75A2">
        <w:rPr>
          <w:rFonts w:ascii="Trebuchet MS" w:hAnsi="Trebuchet MS"/>
          <w:sz w:val="19"/>
          <w:szCs w:val="19"/>
        </w:rPr>
        <w:t xml:space="preserve"> </w:t>
      </w:r>
      <w:r w:rsidR="00E34381">
        <w:rPr>
          <w:rFonts w:ascii="Trebuchet MS" w:hAnsi="Trebuchet MS"/>
          <w:sz w:val="19"/>
          <w:szCs w:val="19"/>
        </w:rPr>
        <w:t>(+43,1%), des pointes (+78,8%) et de tôles galvanisées (+78,5%)</w:t>
      </w:r>
      <w:r w:rsidR="00451968">
        <w:rPr>
          <w:rFonts w:ascii="Trebuchet MS" w:hAnsi="Trebuchet MS"/>
          <w:sz w:val="19"/>
          <w:szCs w:val="19"/>
        </w:rPr>
        <w:t xml:space="preserve"> sur un an. </w:t>
      </w:r>
    </w:p>
    <w:p w14:paraId="78EB0D75" w14:textId="77777777" w:rsidR="005D1DC3" w:rsidRPr="002B1DF2" w:rsidRDefault="00E34381" w:rsidP="004955C6">
      <w:pPr>
        <w:autoSpaceDE w:val="0"/>
        <w:autoSpaceDN w:val="0"/>
        <w:adjustRightInd w:val="0"/>
        <w:jc w:val="both"/>
        <w:rPr>
          <w:rFonts w:ascii="Trebuchet MS" w:hAnsi="Trebuchet MS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>Par rapport à l’année précédente l’activité dans les autres industries a enregistré en moyenne annuelle une croissance de 3%  en 2018.</w:t>
      </w:r>
    </w:p>
    <w:p w14:paraId="6C7030EB" w14:textId="77777777" w:rsidR="005D1DC3" w:rsidRPr="002B1DF2" w:rsidRDefault="00F36B6A" w:rsidP="005D1DC3">
      <w:pPr>
        <w:autoSpaceDE w:val="0"/>
        <w:autoSpaceDN w:val="0"/>
        <w:adjustRightInd w:val="0"/>
        <w:spacing w:after="6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  <w:r>
        <w:rPr>
          <w:noProof/>
          <w:lang w:bidi="ar-SA"/>
        </w:rPr>
        <w:drawing>
          <wp:inline distT="0" distB="0" distL="0" distR="0" wp14:anchorId="2965AED1" wp14:editId="3CF056D3">
            <wp:extent cx="2943225" cy="2038350"/>
            <wp:effectExtent l="0" t="0" r="9525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711AB79" w14:textId="77777777" w:rsidR="005D1DC3" w:rsidRPr="002B1DF2" w:rsidRDefault="005D1DC3" w:rsidP="005D1DC3">
      <w:pPr>
        <w:jc w:val="both"/>
      </w:pPr>
      <w:r w:rsidRPr="002B1DF2">
        <w:rPr>
          <w:rFonts w:ascii="Trebuchet MS" w:hAnsi="Trebuchet MS"/>
          <w:b/>
          <w:sz w:val="16"/>
          <w:szCs w:val="16"/>
        </w:rPr>
        <w:t>Source</w:t>
      </w:r>
      <w:r w:rsidRPr="002B1DF2">
        <w:rPr>
          <w:rFonts w:ascii="Trebuchet MS" w:hAnsi="Trebuchet MS"/>
          <w:sz w:val="16"/>
          <w:szCs w:val="16"/>
        </w:rPr>
        <w:t> : INSAE, DSEE</w:t>
      </w:r>
    </w:p>
    <w:p w14:paraId="6BEBFD6C" w14:textId="77777777" w:rsidR="005D1DC3" w:rsidRDefault="005D1DC3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5766087A" w14:textId="77777777" w:rsidR="00E34381" w:rsidRDefault="00E34381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00600E0F" w14:textId="77777777" w:rsidR="00E34381" w:rsidRDefault="00E34381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000811D8" w14:textId="77777777" w:rsidR="00E34381" w:rsidRDefault="00E34381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20"/>
          <w:szCs w:val="20"/>
          <w:lang w:bidi="ar-SA"/>
        </w:rPr>
      </w:pPr>
    </w:p>
    <w:p w14:paraId="50A14E61" w14:textId="77777777" w:rsidR="00E34381" w:rsidRPr="00E34381" w:rsidRDefault="00E34381" w:rsidP="005D1DC3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sz w:val="8"/>
          <w:szCs w:val="20"/>
          <w:lang w:bidi="ar-SA"/>
        </w:rPr>
      </w:pPr>
    </w:p>
    <w:p w14:paraId="5748CF51" w14:textId="77777777" w:rsidR="005D1DC3" w:rsidRPr="002B1DF2" w:rsidRDefault="0006706F" w:rsidP="009C5733">
      <w:pPr>
        <w:autoSpaceDE w:val="0"/>
        <w:autoSpaceDN w:val="0"/>
        <w:adjustRightInd w:val="0"/>
      </w:pPr>
      <w:r>
        <w:rPr>
          <w:noProof/>
          <w:lang w:bidi="ar-SA"/>
        </w:rPr>
        <w:drawing>
          <wp:inline distT="0" distB="0" distL="0" distR="0" wp14:anchorId="6B3FC0C1" wp14:editId="07D29FBB">
            <wp:extent cx="2897505" cy="2152650"/>
            <wp:effectExtent l="0" t="0" r="17145" b="0"/>
            <wp:docPr id="14" name="Graphique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5D1DC3" w:rsidRPr="002B1DF2">
        <w:rPr>
          <w:rFonts w:ascii="Trebuchet MS" w:hAnsi="Trebuchet MS"/>
          <w:b/>
          <w:sz w:val="16"/>
          <w:szCs w:val="16"/>
        </w:rPr>
        <w:t>Source</w:t>
      </w:r>
      <w:r w:rsidR="005D1DC3" w:rsidRPr="002B1DF2">
        <w:rPr>
          <w:rFonts w:ascii="Trebuchet MS" w:hAnsi="Trebuchet MS"/>
          <w:sz w:val="16"/>
          <w:szCs w:val="16"/>
        </w:rPr>
        <w:t> : INSAE, DSEE</w:t>
      </w:r>
    </w:p>
    <w:p w14:paraId="1F464612" w14:textId="77777777" w:rsidR="005D1DC3" w:rsidRPr="002B1DF2" w:rsidRDefault="005D1DC3" w:rsidP="005D1DC3">
      <w:pPr>
        <w:jc w:val="both"/>
      </w:pPr>
    </w:p>
    <w:p w14:paraId="65FAECBD" w14:textId="77777777" w:rsidR="005D1DC3" w:rsidRPr="002B1DF2" w:rsidRDefault="005D1DC3" w:rsidP="005D1DC3">
      <w:pPr>
        <w:jc w:val="both"/>
        <w:sectPr w:rsidR="005D1DC3" w:rsidRPr="002B1DF2" w:rsidSect="00046596">
          <w:type w:val="continuous"/>
          <w:pgSz w:w="11906" w:h="16838"/>
          <w:pgMar w:top="1418" w:right="1106" w:bottom="1418" w:left="964" w:header="720" w:footer="284" w:gutter="0"/>
          <w:cols w:num="2" w:space="709"/>
          <w:titlePg/>
        </w:sectPr>
      </w:pPr>
    </w:p>
    <w:p w14:paraId="66590472" w14:textId="77777777" w:rsidR="005D1DC3" w:rsidRDefault="005D1DC3" w:rsidP="005D1DC3">
      <w:pPr>
        <w:jc w:val="both"/>
      </w:pPr>
    </w:p>
    <w:p w14:paraId="000C77F0" w14:textId="77777777" w:rsidR="00846F8F" w:rsidRDefault="00846F8F" w:rsidP="005D1DC3">
      <w:pPr>
        <w:autoSpaceDE w:val="0"/>
        <w:autoSpaceDN w:val="0"/>
        <w:adjustRightInd w:val="0"/>
      </w:pPr>
    </w:p>
    <w:sectPr w:rsidR="00846F8F" w:rsidSect="00046596">
      <w:type w:val="continuous"/>
      <w:pgSz w:w="11906" w:h="16838"/>
      <w:pgMar w:top="1418" w:right="1106" w:bottom="1418" w:left="964" w:header="720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D79A0" w14:textId="77777777" w:rsidR="00CB2FF6" w:rsidRDefault="00CB2FF6" w:rsidP="00F430BC">
      <w:r>
        <w:separator/>
      </w:r>
    </w:p>
  </w:endnote>
  <w:endnote w:type="continuationSeparator" w:id="0">
    <w:p w14:paraId="64B7BDA9" w14:textId="77777777" w:rsidR="00CB2FF6" w:rsidRDefault="00CB2FF6" w:rsidP="00F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D81F2" w14:textId="77777777" w:rsidR="006F64B2" w:rsidRDefault="006F64B2">
    <w:pPr>
      <w:pStyle w:val="Pieddepag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separate"/>
    </w:r>
    <w:r>
      <w:rPr>
        <w:rStyle w:val="Numrodepage"/>
        <w:noProof/>
        <w:sz w:val="19"/>
        <w:szCs w:val="19"/>
      </w:rPr>
      <w:t>1</w:t>
    </w:r>
    <w:r>
      <w:rPr>
        <w:rStyle w:val="Numrodepage"/>
        <w:sz w:val="19"/>
        <w:szCs w:val="19"/>
      </w:rPr>
      <w:fldChar w:fldCharType="end"/>
    </w:r>
  </w:p>
  <w:p w14:paraId="777EEE29" w14:textId="77777777" w:rsidR="006F64B2" w:rsidRDefault="006F64B2">
    <w:pPr>
      <w:pStyle w:val="Pieddepage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16DED" w14:textId="77777777" w:rsidR="006F64B2" w:rsidRPr="00EF1E40" w:rsidRDefault="006F64B2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6E93070B" w14:textId="77777777" w:rsidR="006F64B2" w:rsidRPr="00EF1E40" w:rsidRDefault="006F64B2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9822B0F" w14:textId="77777777" w:rsidR="006F64B2" w:rsidRPr="00EF1E40" w:rsidRDefault="006F64B2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31BA8DE1" w14:textId="77777777" w:rsidR="006F64B2" w:rsidRPr="00EF1E40" w:rsidRDefault="006F64B2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5CE1C9C0" w14:textId="77777777" w:rsidR="006F64B2" w:rsidRPr="00EF1E40" w:rsidRDefault="006F64B2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5D05C2DC" w14:textId="77777777" w:rsidR="006F64B2" w:rsidRPr="00EF1E40" w:rsidRDefault="006F64B2" w:rsidP="001B16B3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>
      <w:rPr>
        <w:rFonts w:ascii="Arial, BoldItalic" w:hAnsi="Arial, BoldItalic"/>
        <w:sz w:val="16"/>
        <w:szCs w:val="16"/>
      </w:rPr>
      <w:t>Aliou</w:t>
    </w:r>
    <w:proofErr w:type="spellEnd"/>
    <w:r w:rsidRPr="00EF1E40">
      <w:rPr>
        <w:rFonts w:ascii="Arial, BoldItalic" w:hAnsi="Arial, BoldItalic"/>
        <w:sz w:val="16"/>
        <w:szCs w:val="16"/>
      </w:rPr>
      <w:t>&amp; FADO Alexis</w:t>
    </w:r>
  </w:p>
  <w:p w14:paraId="41115248" w14:textId="77777777" w:rsidR="006F64B2" w:rsidRDefault="006F64B2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2FC79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535C500C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777CF01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Laurent Mahounou HOUNSA</w:t>
    </w:r>
  </w:p>
  <w:p w14:paraId="6A4D14DB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2A25F7F1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0DA59EFD" w14:textId="77777777" w:rsidR="006F64B2" w:rsidRPr="00547504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>
      <w:rPr>
        <w:rFonts w:ascii="Arial, BoldItalic" w:hAnsi="Arial, BoldItalic"/>
        <w:sz w:val="16"/>
        <w:szCs w:val="16"/>
      </w:rPr>
      <w:t>Aliou</w:t>
    </w:r>
    <w:proofErr w:type="spellEnd"/>
    <w:r>
      <w:rPr>
        <w:rFonts w:ascii="Arial, BoldItalic" w:hAnsi="Arial, BoldItalic"/>
        <w:sz w:val="16"/>
        <w:szCs w:val="16"/>
      </w:rPr>
      <w:t xml:space="preserve">&amp; FADO </w:t>
    </w:r>
    <w:r w:rsidRPr="00EF1E40">
      <w:rPr>
        <w:rFonts w:ascii="Arial, BoldItalic" w:hAnsi="Arial, BoldItalic"/>
        <w:sz w:val="16"/>
        <w:szCs w:val="16"/>
      </w:rPr>
      <w:t>Alexis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04FB5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6FFEB309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92749C5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Laurent Mahounou HOUNSA</w:t>
    </w:r>
  </w:p>
  <w:p w14:paraId="1345DAD1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79E84C01" w14:textId="77777777" w:rsidR="006F64B2" w:rsidRPr="00EF1E40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5FB8B886" w14:textId="77777777" w:rsidR="006F64B2" w:rsidRPr="00547504" w:rsidRDefault="006F64B2" w:rsidP="00547504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AKLOSSOU Dieudonné, YESSOUFOU </w:t>
    </w:r>
    <w:proofErr w:type="spellStart"/>
    <w:r>
      <w:rPr>
        <w:rFonts w:ascii="Arial, BoldItalic" w:hAnsi="Arial, BoldItalic"/>
        <w:sz w:val="16"/>
        <w:szCs w:val="16"/>
      </w:rPr>
      <w:t>Aliou</w:t>
    </w:r>
    <w:proofErr w:type="spellEnd"/>
    <w:r>
      <w:rPr>
        <w:rFonts w:ascii="Arial, BoldItalic" w:hAnsi="Arial, BoldItalic"/>
        <w:sz w:val="16"/>
        <w:szCs w:val="16"/>
      </w:rPr>
      <w:t xml:space="preserve">&amp; FADO </w:t>
    </w:r>
    <w:r w:rsidRPr="00EF1E40">
      <w:rPr>
        <w:rFonts w:ascii="Arial, BoldItalic" w:hAnsi="Arial, BoldItalic"/>
        <w:sz w:val="16"/>
        <w:szCs w:val="16"/>
      </w:rPr>
      <w:t>Alexis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9E3E2" w14:textId="77777777" w:rsidR="00CB2FF6" w:rsidRDefault="00CB2FF6" w:rsidP="00F430BC">
      <w:r>
        <w:separator/>
      </w:r>
    </w:p>
  </w:footnote>
  <w:footnote w:type="continuationSeparator" w:id="0">
    <w:p w14:paraId="4D18726A" w14:textId="77777777" w:rsidR="00CB2FF6" w:rsidRDefault="00CB2FF6" w:rsidP="00F4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64628" w14:textId="77777777" w:rsidR="006F64B2" w:rsidRDefault="006F64B2">
    <w:pPr>
      <w:pStyle w:val="En-tte"/>
      <w:framePr w:wrap="around" w:vAnchor="text" w:hAnchor="margin" w:xAlign="center" w:y="1"/>
      <w:rPr>
        <w:rStyle w:val="Numrodepage"/>
        <w:sz w:val="19"/>
        <w:szCs w:val="19"/>
      </w:rPr>
    </w:pPr>
    <w:r>
      <w:rPr>
        <w:rStyle w:val="Numrodepage"/>
        <w:sz w:val="19"/>
        <w:szCs w:val="19"/>
      </w:rPr>
      <w:fldChar w:fldCharType="begin"/>
    </w:r>
    <w:r>
      <w:rPr>
        <w:rStyle w:val="Numrodepage"/>
        <w:sz w:val="19"/>
        <w:szCs w:val="19"/>
      </w:rPr>
      <w:instrText xml:space="preserve">PAGE  </w:instrText>
    </w:r>
    <w:r>
      <w:rPr>
        <w:rStyle w:val="Numrodepage"/>
        <w:sz w:val="19"/>
        <w:szCs w:val="19"/>
      </w:rPr>
      <w:fldChar w:fldCharType="end"/>
    </w:r>
  </w:p>
  <w:p w14:paraId="2CDE3E81" w14:textId="77777777" w:rsidR="006F64B2" w:rsidRDefault="006F64B2">
    <w:pPr>
      <w:pStyle w:val="En-tte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AA"/>
    <w:rsid w:val="00000799"/>
    <w:rsid w:val="00012D93"/>
    <w:rsid w:val="00013257"/>
    <w:rsid w:val="000151EC"/>
    <w:rsid w:val="0001713F"/>
    <w:rsid w:val="00020FD5"/>
    <w:rsid w:val="000245CF"/>
    <w:rsid w:val="00025EA4"/>
    <w:rsid w:val="00026C79"/>
    <w:rsid w:val="000317F3"/>
    <w:rsid w:val="000336B1"/>
    <w:rsid w:val="0003517C"/>
    <w:rsid w:val="0003771D"/>
    <w:rsid w:val="00041473"/>
    <w:rsid w:val="00042BBD"/>
    <w:rsid w:val="00044219"/>
    <w:rsid w:val="00044CD8"/>
    <w:rsid w:val="00046596"/>
    <w:rsid w:val="00047F66"/>
    <w:rsid w:val="00054CB4"/>
    <w:rsid w:val="000550E3"/>
    <w:rsid w:val="00055A35"/>
    <w:rsid w:val="00056EAB"/>
    <w:rsid w:val="00064822"/>
    <w:rsid w:val="0006706F"/>
    <w:rsid w:val="00067CD2"/>
    <w:rsid w:val="00071A69"/>
    <w:rsid w:val="00073D00"/>
    <w:rsid w:val="00080DFB"/>
    <w:rsid w:val="00083EE4"/>
    <w:rsid w:val="000903A3"/>
    <w:rsid w:val="0009156A"/>
    <w:rsid w:val="00091D86"/>
    <w:rsid w:val="00092049"/>
    <w:rsid w:val="00094FB9"/>
    <w:rsid w:val="000A2919"/>
    <w:rsid w:val="000B34F3"/>
    <w:rsid w:val="000B5F2B"/>
    <w:rsid w:val="000B713F"/>
    <w:rsid w:val="000C065E"/>
    <w:rsid w:val="000C77CB"/>
    <w:rsid w:val="000D05DA"/>
    <w:rsid w:val="000D0FD0"/>
    <w:rsid w:val="000F3A23"/>
    <w:rsid w:val="000F41AC"/>
    <w:rsid w:val="000F7B07"/>
    <w:rsid w:val="001023CC"/>
    <w:rsid w:val="001026EA"/>
    <w:rsid w:val="0011032D"/>
    <w:rsid w:val="001108A5"/>
    <w:rsid w:val="001118A5"/>
    <w:rsid w:val="00112591"/>
    <w:rsid w:val="00112B94"/>
    <w:rsid w:val="00115832"/>
    <w:rsid w:val="001164EA"/>
    <w:rsid w:val="00116DE7"/>
    <w:rsid w:val="00116E2E"/>
    <w:rsid w:val="00117157"/>
    <w:rsid w:val="00120574"/>
    <w:rsid w:val="00120D6A"/>
    <w:rsid w:val="001239FC"/>
    <w:rsid w:val="001313ED"/>
    <w:rsid w:val="00135D6A"/>
    <w:rsid w:val="001376D8"/>
    <w:rsid w:val="0013775D"/>
    <w:rsid w:val="001401CC"/>
    <w:rsid w:val="00141193"/>
    <w:rsid w:val="00142120"/>
    <w:rsid w:val="0014349C"/>
    <w:rsid w:val="001509A3"/>
    <w:rsid w:val="00152250"/>
    <w:rsid w:val="00165FA1"/>
    <w:rsid w:val="00167350"/>
    <w:rsid w:val="001726E2"/>
    <w:rsid w:val="001746D7"/>
    <w:rsid w:val="00175A0E"/>
    <w:rsid w:val="00185B11"/>
    <w:rsid w:val="00192B71"/>
    <w:rsid w:val="001949A3"/>
    <w:rsid w:val="001971B0"/>
    <w:rsid w:val="00197D79"/>
    <w:rsid w:val="001A2E3B"/>
    <w:rsid w:val="001A38E2"/>
    <w:rsid w:val="001A3F0E"/>
    <w:rsid w:val="001A5683"/>
    <w:rsid w:val="001A6069"/>
    <w:rsid w:val="001B00A3"/>
    <w:rsid w:val="001B10B3"/>
    <w:rsid w:val="001B16B3"/>
    <w:rsid w:val="001B3FA7"/>
    <w:rsid w:val="001B45C8"/>
    <w:rsid w:val="001B5E2B"/>
    <w:rsid w:val="001C006F"/>
    <w:rsid w:val="001C19A8"/>
    <w:rsid w:val="001C2109"/>
    <w:rsid w:val="001C3C3E"/>
    <w:rsid w:val="001C75A2"/>
    <w:rsid w:val="001D1901"/>
    <w:rsid w:val="001D330D"/>
    <w:rsid w:val="001D58F7"/>
    <w:rsid w:val="001D7078"/>
    <w:rsid w:val="001E259B"/>
    <w:rsid w:val="001E2D5A"/>
    <w:rsid w:val="001E53DE"/>
    <w:rsid w:val="001F349C"/>
    <w:rsid w:val="001F7C63"/>
    <w:rsid w:val="00203F9C"/>
    <w:rsid w:val="00205A49"/>
    <w:rsid w:val="002062EA"/>
    <w:rsid w:val="0021169C"/>
    <w:rsid w:val="002121A1"/>
    <w:rsid w:val="0021383B"/>
    <w:rsid w:val="00221B79"/>
    <w:rsid w:val="00227E75"/>
    <w:rsid w:val="00234C34"/>
    <w:rsid w:val="00235DBC"/>
    <w:rsid w:val="002438EE"/>
    <w:rsid w:val="00244613"/>
    <w:rsid w:val="00245326"/>
    <w:rsid w:val="0025397E"/>
    <w:rsid w:val="00257989"/>
    <w:rsid w:val="00262A79"/>
    <w:rsid w:val="00266AEC"/>
    <w:rsid w:val="002675E6"/>
    <w:rsid w:val="002706B0"/>
    <w:rsid w:val="00275130"/>
    <w:rsid w:val="00280C53"/>
    <w:rsid w:val="00283DF8"/>
    <w:rsid w:val="00284C9E"/>
    <w:rsid w:val="00285FD0"/>
    <w:rsid w:val="00291083"/>
    <w:rsid w:val="00291598"/>
    <w:rsid w:val="00293479"/>
    <w:rsid w:val="002974AE"/>
    <w:rsid w:val="002B1DF2"/>
    <w:rsid w:val="002B37A7"/>
    <w:rsid w:val="002C6CEB"/>
    <w:rsid w:val="002D015B"/>
    <w:rsid w:val="002D082D"/>
    <w:rsid w:val="002D119E"/>
    <w:rsid w:val="002D3F71"/>
    <w:rsid w:val="002D4A04"/>
    <w:rsid w:val="002D5AFD"/>
    <w:rsid w:val="002D739E"/>
    <w:rsid w:val="002E05D9"/>
    <w:rsid w:val="002E1EAE"/>
    <w:rsid w:val="002E4936"/>
    <w:rsid w:val="002E5E86"/>
    <w:rsid w:val="002E6D42"/>
    <w:rsid w:val="002F0E56"/>
    <w:rsid w:val="002F4DF8"/>
    <w:rsid w:val="00300A35"/>
    <w:rsid w:val="00300D9D"/>
    <w:rsid w:val="003038F6"/>
    <w:rsid w:val="00304AD3"/>
    <w:rsid w:val="0031090E"/>
    <w:rsid w:val="00312764"/>
    <w:rsid w:val="00315152"/>
    <w:rsid w:val="00320780"/>
    <w:rsid w:val="00322736"/>
    <w:rsid w:val="0032475F"/>
    <w:rsid w:val="00327582"/>
    <w:rsid w:val="0033158F"/>
    <w:rsid w:val="00336314"/>
    <w:rsid w:val="00336453"/>
    <w:rsid w:val="00340193"/>
    <w:rsid w:val="003404C4"/>
    <w:rsid w:val="0034246C"/>
    <w:rsid w:val="00342528"/>
    <w:rsid w:val="00342B8F"/>
    <w:rsid w:val="00344A13"/>
    <w:rsid w:val="003451C3"/>
    <w:rsid w:val="003472EB"/>
    <w:rsid w:val="00355C23"/>
    <w:rsid w:val="00356D2D"/>
    <w:rsid w:val="0036037B"/>
    <w:rsid w:val="00362ABB"/>
    <w:rsid w:val="00366842"/>
    <w:rsid w:val="00372583"/>
    <w:rsid w:val="00372D31"/>
    <w:rsid w:val="0037613A"/>
    <w:rsid w:val="00376F31"/>
    <w:rsid w:val="003821CE"/>
    <w:rsid w:val="00387BF8"/>
    <w:rsid w:val="00390AE1"/>
    <w:rsid w:val="00390B75"/>
    <w:rsid w:val="0039166E"/>
    <w:rsid w:val="003960DA"/>
    <w:rsid w:val="003971B5"/>
    <w:rsid w:val="00397BDE"/>
    <w:rsid w:val="003A4AED"/>
    <w:rsid w:val="003A5A82"/>
    <w:rsid w:val="003A5E80"/>
    <w:rsid w:val="003B4EDD"/>
    <w:rsid w:val="003C2D9B"/>
    <w:rsid w:val="003C3900"/>
    <w:rsid w:val="003C5292"/>
    <w:rsid w:val="003C7BAB"/>
    <w:rsid w:val="003C7D41"/>
    <w:rsid w:val="003D1117"/>
    <w:rsid w:val="003D3BF3"/>
    <w:rsid w:val="003D4F00"/>
    <w:rsid w:val="003D5533"/>
    <w:rsid w:val="003E33C7"/>
    <w:rsid w:val="003E5557"/>
    <w:rsid w:val="003E5DBF"/>
    <w:rsid w:val="003F39D4"/>
    <w:rsid w:val="003F41B8"/>
    <w:rsid w:val="003F7282"/>
    <w:rsid w:val="004015F1"/>
    <w:rsid w:val="004026BD"/>
    <w:rsid w:val="00402ECF"/>
    <w:rsid w:val="00413C75"/>
    <w:rsid w:val="00414355"/>
    <w:rsid w:val="004144A8"/>
    <w:rsid w:val="00416430"/>
    <w:rsid w:val="00420770"/>
    <w:rsid w:val="0042215F"/>
    <w:rsid w:val="0042397F"/>
    <w:rsid w:val="00423C96"/>
    <w:rsid w:val="0042491D"/>
    <w:rsid w:val="004256B9"/>
    <w:rsid w:val="004335D9"/>
    <w:rsid w:val="00435057"/>
    <w:rsid w:val="004358BB"/>
    <w:rsid w:val="004458A4"/>
    <w:rsid w:val="004477AA"/>
    <w:rsid w:val="00447DC4"/>
    <w:rsid w:val="004511B8"/>
    <w:rsid w:val="00451968"/>
    <w:rsid w:val="00453D21"/>
    <w:rsid w:val="00460CD7"/>
    <w:rsid w:val="004661F1"/>
    <w:rsid w:val="004675E3"/>
    <w:rsid w:val="00473ED3"/>
    <w:rsid w:val="00481575"/>
    <w:rsid w:val="0048286D"/>
    <w:rsid w:val="004838AF"/>
    <w:rsid w:val="00484C1F"/>
    <w:rsid w:val="004852DF"/>
    <w:rsid w:val="00485B8D"/>
    <w:rsid w:val="004955C6"/>
    <w:rsid w:val="004B36C7"/>
    <w:rsid w:val="004C3357"/>
    <w:rsid w:val="004D039C"/>
    <w:rsid w:val="004D116E"/>
    <w:rsid w:val="004D2AEE"/>
    <w:rsid w:val="004D46AF"/>
    <w:rsid w:val="004E2B85"/>
    <w:rsid w:val="004E2F5F"/>
    <w:rsid w:val="004E3FF0"/>
    <w:rsid w:val="004E72A4"/>
    <w:rsid w:val="004F29C3"/>
    <w:rsid w:val="004F43D6"/>
    <w:rsid w:val="004F6634"/>
    <w:rsid w:val="004F6CD4"/>
    <w:rsid w:val="004F7DE3"/>
    <w:rsid w:val="00501F57"/>
    <w:rsid w:val="00512050"/>
    <w:rsid w:val="00522EBE"/>
    <w:rsid w:val="005325B0"/>
    <w:rsid w:val="005340FE"/>
    <w:rsid w:val="00534E93"/>
    <w:rsid w:val="00535535"/>
    <w:rsid w:val="005357AA"/>
    <w:rsid w:val="005358B7"/>
    <w:rsid w:val="00541F35"/>
    <w:rsid w:val="00542F96"/>
    <w:rsid w:val="0054706D"/>
    <w:rsid w:val="00547504"/>
    <w:rsid w:val="005559A4"/>
    <w:rsid w:val="00557AD2"/>
    <w:rsid w:val="0056441D"/>
    <w:rsid w:val="00574E2B"/>
    <w:rsid w:val="00580738"/>
    <w:rsid w:val="00580D16"/>
    <w:rsid w:val="005815CF"/>
    <w:rsid w:val="00581ECE"/>
    <w:rsid w:val="00585D18"/>
    <w:rsid w:val="00590581"/>
    <w:rsid w:val="00590A32"/>
    <w:rsid w:val="00591A61"/>
    <w:rsid w:val="00597B36"/>
    <w:rsid w:val="005A31E0"/>
    <w:rsid w:val="005A3CE7"/>
    <w:rsid w:val="005A6447"/>
    <w:rsid w:val="005B1F1C"/>
    <w:rsid w:val="005B4EF3"/>
    <w:rsid w:val="005B70BA"/>
    <w:rsid w:val="005C2977"/>
    <w:rsid w:val="005C3B1D"/>
    <w:rsid w:val="005C3CCD"/>
    <w:rsid w:val="005C66C3"/>
    <w:rsid w:val="005D116C"/>
    <w:rsid w:val="005D12EA"/>
    <w:rsid w:val="005D1DC3"/>
    <w:rsid w:val="005D61AD"/>
    <w:rsid w:val="005E279C"/>
    <w:rsid w:val="005E637D"/>
    <w:rsid w:val="005E6BB7"/>
    <w:rsid w:val="005E7DF4"/>
    <w:rsid w:val="005F07A0"/>
    <w:rsid w:val="005F2C1F"/>
    <w:rsid w:val="005F69DA"/>
    <w:rsid w:val="00602701"/>
    <w:rsid w:val="00606B99"/>
    <w:rsid w:val="00606C85"/>
    <w:rsid w:val="00611A82"/>
    <w:rsid w:val="00612483"/>
    <w:rsid w:val="00613057"/>
    <w:rsid w:val="0061629E"/>
    <w:rsid w:val="00622A7A"/>
    <w:rsid w:val="006248DA"/>
    <w:rsid w:val="00627B06"/>
    <w:rsid w:val="00630EBD"/>
    <w:rsid w:val="00643A19"/>
    <w:rsid w:val="00655121"/>
    <w:rsid w:val="006628F4"/>
    <w:rsid w:val="006636E6"/>
    <w:rsid w:val="006659CC"/>
    <w:rsid w:val="00667866"/>
    <w:rsid w:val="00671226"/>
    <w:rsid w:val="00671656"/>
    <w:rsid w:val="0067483E"/>
    <w:rsid w:val="006756CD"/>
    <w:rsid w:val="00676051"/>
    <w:rsid w:val="00676879"/>
    <w:rsid w:val="00680F15"/>
    <w:rsid w:val="0068103B"/>
    <w:rsid w:val="00685D71"/>
    <w:rsid w:val="006863E7"/>
    <w:rsid w:val="0068766D"/>
    <w:rsid w:val="006954E8"/>
    <w:rsid w:val="006A14AD"/>
    <w:rsid w:val="006A16F2"/>
    <w:rsid w:val="006B3127"/>
    <w:rsid w:val="006C0BEB"/>
    <w:rsid w:val="006C2E31"/>
    <w:rsid w:val="006C5BAF"/>
    <w:rsid w:val="006D0EB1"/>
    <w:rsid w:val="006D24D7"/>
    <w:rsid w:val="006D2642"/>
    <w:rsid w:val="006D460B"/>
    <w:rsid w:val="006E1278"/>
    <w:rsid w:val="006F02E4"/>
    <w:rsid w:val="006F420A"/>
    <w:rsid w:val="006F64B2"/>
    <w:rsid w:val="0070255A"/>
    <w:rsid w:val="0070453E"/>
    <w:rsid w:val="00710326"/>
    <w:rsid w:val="00711F31"/>
    <w:rsid w:val="00715268"/>
    <w:rsid w:val="00720EA0"/>
    <w:rsid w:val="00722554"/>
    <w:rsid w:val="00722A45"/>
    <w:rsid w:val="00722B80"/>
    <w:rsid w:val="007242F1"/>
    <w:rsid w:val="00727014"/>
    <w:rsid w:val="0072793E"/>
    <w:rsid w:val="00730938"/>
    <w:rsid w:val="00732973"/>
    <w:rsid w:val="00732AB4"/>
    <w:rsid w:val="00735069"/>
    <w:rsid w:val="00735652"/>
    <w:rsid w:val="00736354"/>
    <w:rsid w:val="00740441"/>
    <w:rsid w:val="00742768"/>
    <w:rsid w:val="00744085"/>
    <w:rsid w:val="0074576C"/>
    <w:rsid w:val="00745EEA"/>
    <w:rsid w:val="00757D68"/>
    <w:rsid w:val="00761A64"/>
    <w:rsid w:val="00764013"/>
    <w:rsid w:val="00764DC7"/>
    <w:rsid w:val="007652CF"/>
    <w:rsid w:val="00767A06"/>
    <w:rsid w:val="007719F5"/>
    <w:rsid w:val="007771D3"/>
    <w:rsid w:val="007804C0"/>
    <w:rsid w:val="00784794"/>
    <w:rsid w:val="0079325A"/>
    <w:rsid w:val="0079467A"/>
    <w:rsid w:val="00796584"/>
    <w:rsid w:val="00797CFA"/>
    <w:rsid w:val="007A155B"/>
    <w:rsid w:val="007A4315"/>
    <w:rsid w:val="007A6074"/>
    <w:rsid w:val="007A6B26"/>
    <w:rsid w:val="007B119E"/>
    <w:rsid w:val="007B3643"/>
    <w:rsid w:val="007B4621"/>
    <w:rsid w:val="007C77F2"/>
    <w:rsid w:val="007D1748"/>
    <w:rsid w:val="007D5BE4"/>
    <w:rsid w:val="007D6B99"/>
    <w:rsid w:val="007E07B0"/>
    <w:rsid w:val="007E1975"/>
    <w:rsid w:val="007E6764"/>
    <w:rsid w:val="007E7A11"/>
    <w:rsid w:val="007E7CEB"/>
    <w:rsid w:val="007F21BB"/>
    <w:rsid w:val="007F2D67"/>
    <w:rsid w:val="007F51D8"/>
    <w:rsid w:val="007F5AEF"/>
    <w:rsid w:val="007F5AF2"/>
    <w:rsid w:val="007F6BBF"/>
    <w:rsid w:val="00804C3C"/>
    <w:rsid w:val="008060EE"/>
    <w:rsid w:val="0081198D"/>
    <w:rsid w:val="008151CB"/>
    <w:rsid w:val="00817D85"/>
    <w:rsid w:val="00825178"/>
    <w:rsid w:val="00827422"/>
    <w:rsid w:val="00830958"/>
    <w:rsid w:val="00830ADC"/>
    <w:rsid w:val="00837464"/>
    <w:rsid w:val="00840A13"/>
    <w:rsid w:val="0084290C"/>
    <w:rsid w:val="00846F8F"/>
    <w:rsid w:val="00851D93"/>
    <w:rsid w:val="00853F91"/>
    <w:rsid w:val="00857116"/>
    <w:rsid w:val="008574C9"/>
    <w:rsid w:val="00857B21"/>
    <w:rsid w:val="0086484D"/>
    <w:rsid w:val="00871BB5"/>
    <w:rsid w:val="00877587"/>
    <w:rsid w:val="0088420A"/>
    <w:rsid w:val="008875D7"/>
    <w:rsid w:val="008921FB"/>
    <w:rsid w:val="008922D1"/>
    <w:rsid w:val="00894F14"/>
    <w:rsid w:val="0089688C"/>
    <w:rsid w:val="008A038B"/>
    <w:rsid w:val="008A246C"/>
    <w:rsid w:val="008A780D"/>
    <w:rsid w:val="008B1856"/>
    <w:rsid w:val="008B2B10"/>
    <w:rsid w:val="008B3D59"/>
    <w:rsid w:val="008B3E95"/>
    <w:rsid w:val="008B619F"/>
    <w:rsid w:val="008C326B"/>
    <w:rsid w:val="008E1496"/>
    <w:rsid w:val="008E64CA"/>
    <w:rsid w:val="008E6780"/>
    <w:rsid w:val="008E78E9"/>
    <w:rsid w:val="008F043F"/>
    <w:rsid w:val="008F0A93"/>
    <w:rsid w:val="008F2091"/>
    <w:rsid w:val="008F2E5A"/>
    <w:rsid w:val="00900977"/>
    <w:rsid w:val="009067D8"/>
    <w:rsid w:val="00911B32"/>
    <w:rsid w:val="00912AA5"/>
    <w:rsid w:val="009166E5"/>
    <w:rsid w:val="0092095E"/>
    <w:rsid w:val="00921DF0"/>
    <w:rsid w:val="00925113"/>
    <w:rsid w:val="009257DC"/>
    <w:rsid w:val="00927213"/>
    <w:rsid w:val="00934879"/>
    <w:rsid w:val="009356BB"/>
    <w:rsid w:val="0094301F"/>
    <w:rsid w:val="00947599"/>
    <w:rsid w:val="00955F3C"/>
    <w:rsid w:val="00956B32"/>
    <w:rsid w:val="009639B1"/>
    <w:rsid w:val="00966936"/>
    <w:rsid w:val="009711D0"/>
    <w:rsid w:val="00971733"/>
    <w:rsid w:val="00990691"/>
    <w:rsid w:val="00990913"/>
    <w:rsid w:val="009979C6"/>
    <w:rsid w:val="009A4180"/>
    <w:rsid w:val="009B3187"/>
    <w:rsid w:val="009C1B81"/>
    <w:rsid w:val="009C5733"/>
    <w:rsid w:val="009D2A46"/>
    <w:rsid w:val="009D5F61"/>
    <w:rsid w:val="009D64EB"/>
    <w:rsid w:val="009E30CD"/>
    <w:rsid w:val="009E5691"/>
    <w:rsid w:val="009E5C7E"/>
    <w:rsid w:val="009E7337"/>
    <w:rsid w:val="009F3741"/>
    <w:rsid w:val="009F7476"/>
    <w:rsid w:val="009F7801"/>
    <w:rsid w:val="00A017B4"/>
    <w:rsid w:val="00A04FB4"/>
    <w:rsid w:val="00A05D72"/>
    <w:rsid w:val="00A101F4"/>
    <w:rsid w:val="00A11D96"/>
    <w:rsid w:val="00A122FD"/>
    <w:rsid w:val="00A205D8"/>
    <w:rsid w:val="00A22896"/>
    <w:rsid w:val="00A22D9C"/>
    <w:rsid w:val="00A2408B"/>
    <w:rsid w:val="00A3168F"/>
    <w:rsid w:val="00A35EFF"/>
    <w:rsid w:val="00A42DD6"/>
    <w:rsid w:val="00A44253"/>
    <w:rsid w:val="00A45699"/>
    <w:rsid w:val="00A4644A"/>
    <w:rsid w:val="00A466F7"/>
    <w:rsid w:val="00A470FD"/>
    <w:rsid w:val="00A47557"/>
    <w:rsid w:val="00A525CF"/>
    <w:rsid w:val="00A55FC5"/>
    <w:rsid w:val="00A57A20"/>
    <w:rsid w:val="00A57CF8"/>
    <w:rsid w:val="00A63576"/>
    <w:rsid w:val="00A639EE"/>
    <w:rsid w:val="00A678D6"/>
    <w:rsid w:val="00A72509"/>
    <w:rsid w:val="00A7660D"/>
    <w:rsid w:val="00A77185"/>
    <w:rsid w:val="00A772DB"/>
    <w:rsid w:val="00A818DE"/>
    <w:rsid w:val="00A81D8E"/>
    <w:rsid w:val="00A82BA2"/>
    <w:rsid w:val="00A84653"/>
    <w:rsid w:val="00A93CB5"/>
    <w:rsid w:val="00A962F6"/>
    <w:rsid w:val="00AA3EEE"/>
    <w:rsid w:val="00AA4851"/>
    <w:rsid w:val="00AA72F9"/>
    <w:rsid w:val="00AC32EC"/>
    <w:rsid w:val="00AC405B"/>
    <w:rsid w:val="00AD0547"/>
    <w:rsid w:val="00AD2796"/>
    <w:rsid w:val="00AD2E36"/>
    <w:rsid w:val="00AD6C9A"/>
    <w:rsid w:val="00AD6E37"/>
    <w:rsid w:val="00AE635F"/>
    <w:rsid w:val="00AE7A7E"/>
    <w:rsid w:val="00AF3F6E"/>
    <w:rsid w:val="00B020C3"/>
    <w:rsid w:val="00B16426"/>
    <w:rsid w:val="00B16E79"/>
    <w:rsid w:val="00B204B7"/>
    <w:rsid w:val="00B20BC3"/>
    <w:rsid w:val="00B224B5"/>
    <w:rsid w:val="00B30BF0"/>
    <w:rsid w:val="00B32355"/>
    <w:rsid w:val="00B3274B"/>
    <w:rsid w:val="00B34B17"/>
    <w:rsid w:val="00B3678E"/>
    <w:rsid w:val="00B37879"/>
    <w:rsid w:val="00B44065"/>
    <w:rsid w:val="00B45D5E"/>
    <w:rsid w:val="00B4678D"/>
    <w:rsid w:val="00B50D7C"/>
    <w:rsid w:val="00B512D3"/>
    <w:rsid w:val="00B5408A"/>
    <w:rsid w:val="00B63654"/>
    <w:rsid w:val="00B64620"/>
    <w:rsid w:val="00B64790"/>
    <w:rsid w:val="00B6539A"/>
    <w:rsid w:val="00B66880"/>
    <w:rsid w:val="00B705AD"/>
    <w:rsid w:val="00B72DEF"/>
    <w:rsid w:val="00B73A26"/>
    <w:rsid w:val="00B74BA0"/>
    <w:rsid w:val="00B83755"/>
    <w:rsid w:val="00B868C2"/>
    <w:rsid w:val="00B87147"/>
    <w:rsid w:val="00B902A9"/>
    <w:rsid w:val="00B91278"/>
    <w:rsid w:val="00B93105"/>
    <w:rsid w:val="00B97EBB"/>
    <w:rsid w:val="00BA014B"/>
    <w:rsid w:val="00BA3103"/>
    <w:rsid w:val="00BA4B96"/>
    <w:rsid w:val="00BA729C"/>
    <w:rsid w:val="00BB0471"/>
    <w:rsid w:val="00BB0706"/>
    <w:rsid w:val="00BB1897"/>
    <w:rsid w:val="00BB5F97"/>
    <w:rsid w:val="00BC6117"/>
    <w:rsid w:val="00BD14F7"/>
    <w:rsid w:val="00BD1C83"/>
    <w:rsid w:val="00BD513C"/>
    <w:rsid w:val="00BD624D"/>
    <w:rsid w:val="00BE0F20"/>
    <w:rsid w:val="00BE57A0"/>
    <w:rsid w:val="00BE6D16"/>
    <w:rsid w:val="00BF0F42"/>
    <w:rsid w:val="00BF2C01"/>
    <w:rsid w:val="00BF7870"/>
    <w:rsid w:val="00C0040F"/>
    <w:rsid w:val="00C0106B"/>
    <w:rsid w:val="00C06481"/>
    <w:rsid w:val="00C066B3"/>
    <w:rsid w:val="00C076A8"/>
    <w:rsid w:val="00C12644"/>
    <w:rsid w:val="00C133A0"/>
    <w:rsid w:val="00C141F7"/>
    <w:rsid w:val="00C15E73"/>
    <w:rsid w:val="00C16B6D"/>
    <w:rsid w:val="00C222B5"/>
    <w:rsid w:val="00C2267D"/>
    <w:rsid w:val="00C2375A"/>
    <w:rsid w:val="00C24290"/>
    <w:rsid w:val="00C24C96"/>
    <w:rsid w:val="00C3317E"/>
    <w:rsid w:val="00C33C1E"/>
    <w:rsid w:val="00C35228"/>
    <w:rsid w:val="00C35F38"/>
    <w:rsid w:val="00C450FB"/>
    <w:rsid w:val="00C45C87"/>
    <w:rsid w:val="00C45FA9"/>
    <w:rsid w:val="00C4651F"/>
    <w:rsid w:val="00C50EA1"/>
    <w:rsid w:val="00C540A2"/>
    <w:rsid w:val="00C66287"/>
    <w:rsid w:val="00C70A73"/>
    <w:rsid w:val="00C71D92"/>
    <w:rsid w:val="00C76291"/>
    <w:rsid w:val="00C7763F"/>
    <w:rsid w:val="00C81B9E"/>
    <w:rsid w:val="00C84704"/>
    <w:rsid w:val="00C86E8B"/>
    <w:rsid w:val="00C93758"/>
    <w:rsid w:val="00C9463C"/>
    <w:rsid w:val="00CB12B1"/>
    <w:rsid w:val="00CB2FF6"/>
    <w:rsid w:val="00CB5432"/>
    <w:rsid w:val="00CC02CA"/>
    <w:rsid w:val="00CC4166"/>
    <w:rsid w:val="00CC7AC5"/>
    <w:rsid w:val="00CD1E6A"/>
    <w:rsid w:val="00CD3B2A"/>
    <w:rsid w:val="00CD59E6"/>
    <w:rsid w:val="00CE2B49"/>
    <w:rsid w:val="00CE72D3"/>
    <w:rsid w:val="00CF67B9"/>
    <w:rsid w:val="00CF6861"/>
    <w:rsid w:val="00CF74DD"/>
    <w:rsid w:val="00CF76E8"/>
    <w:rsid w:val="00D046D7"/>
    <w:rsid w:val="00D05EC0"/>
    <w:rsid w:val="00D073F4"/>
    <w:rsid w:val="00D0763C"/>
    <w:rsid w:val="00D12C6D"/>
    <w:rsid w:val="00D15DC5"/>
    <w:rsid w:val="00D1798B"/>
    <w:rsid w:val="00D211E3"/>
    <w:rsid w:val="00D30136"/>
    <w:rsid w:val="00D31A95"/>
    <w:rsid w:val="00D3208D"/>
    <w:rsid w:val="00D37205"/>
    <w:rsid w:val="00D40C22"/>
    <w:rsid w:val="00D4302F"/>
    <w:rsid w:val="00D43D6B"/>
    <w:rsid w:val="00D52455"/>
    <w:rsid w:val="00D52CF6"/>
    <w:rsid w:val="00D62F73"/>
    <w:rsid w:val="00D63A6C"/>
    <w:rsid w:val="00D66079"/>
    <w:rsid w:val="00D67D10"/>
    <w:rsid w:val="00D73187"/>
    <w:rsid w:val="00D7411A"/>
    <w:rsid w:val="00D81E24"/>
    <w:rsid w:val="00D860B7"/>
    <w:rsid w:val="00D8732D"/>
    <w:rsid w:val="00D87776"/>
    <w:rsid w:val="00D90497"/>
    <w:rsid w:val="00D97549"/>
    <w:rsid w:val="00D97D6A"/>
    <w:rsid w:val="00DA41DF"/>
    <w:rsid w:val="00DA487F"/>
    <w:rsid w:val="00DA76DD"/>
    <w:rsid w:val="00DB1538"/>
    <w:rsid w:val="00DB2385"/>
    <w:rsid w:val="00DB37FA"/>
    <w:rsid w:val="00DB774B"/>
    <w:rsid w:val="00DC5180"/>
    <w:rsid w:val="00DC52F6"/>
    <w:rsid w:val="00DC61C1"/>
    <w:rsid w:val="00DC7C46"/>
    <w:rsid w:val="00DD163D"/>
    <w:rsid w:val="00DD3DE2"/>
    <w:rsid w:val="00DD7397"/>
    <w:rsid w:val="00DE517E"/>
    <w:rsid w:val="00DF1C8C"/>
    <w:rsid w:val="00DF4197"/>
    <w:rsid w:val="00DF6DA1"/>
    <w:rsid w:val="00E1574D"/>
    <w:rsid w:val="00E21A5E"/>
    <w:rsid w:val="00E22C9F"/>
    <w:rsid w:val="00E22EBE"/>
    <w:rsid w:val="00E27999"/>
    <w:rsid w:val="00E34381"/>
    <w:rsid w:val="00E36591"/>
    <w:rsid w:val="00E41768"/>
    <w:rsid w:val="00E45B94"/>
    <w:rsid w:val="00E4678B"/>
    <w:rsid w:val="00E511E7"/>
    <w:rsid w:val="00E5214D"/>
    <w:rsid w:val="00E56150"/>
    <w:rsid w:val="00E57F4D"/>
    <w:rsid w:val="00E6387A"/>
    <w:rsid w:val="00E67465"/>
    <w:rsid w:val="00E713F1"/>
    <w:rsid w:val="00E71DFA"/>
    <w:rsid w:val="00E75170"/>
    <w:rsid w:val="00E76F24"/>
    <w:rsid w:val="00E77FA9"/>
    <w:rsid w:val="00E83F49"/>
    <w:rsid w:val="00E84AB7"/>
    <w:rsid w:val="00EA20B2"/>
    <w:rsid w:val="00EA641A"/>
    <w:rsid w:val="00EA64F4"/>
    <w:rsid w:val="00EB1125"/>
    <w:rsid w:val="00EB727B"/>
    <w:rsid w:val="00EC0129"/>
    <w:rsid w:val="00EC3929"/>
    <w:rsid w:val="00EC4847"/>
    <w:rsid w:val="00EC6DBE"/>
    <w:rsid w:val="00ED1523"/>
    <w:rsid w:val="00ED168E"/>
    <w:rsid w:val="00ED4798"/>
    <w:rsid w:val="00ED68D6"/>
    <w:rsid w:val="00EE24F5"/>
    <w:rsid w:val="00EE4B8A"/>
    <w:rsid w:val="00EE6178"/>
    <w:rsid w:val="00EF0A65"/>
    <w:rsid w:val="00EF1577"/>
    <w:rsid w:val="00EF1986"/>
    <w:rsid w:val="00EF1B5A"/>
    <w:rsid w:val="00EF4BCD"/>
    <w:rsid w:val="00EF6845"/>
    <w:rsid w:val="00EF7EE8"/>
    <w:rsid w:val="00F03912"/>
    <w:rsid w:val="00F03CB3"/>
    <w:rsid w:val="00F07A0E"/>
    <w:rsid w:val="00F118B2"/>
    <w:rsid w:val="00F12F50"/>
    <w:rsid w:val="00F13CAB"/>
    <w:rsid w:val="00F15AB6"/>
    <w:rsid w:val="00F1632C"/>
    <w:rsid w:val="00F163EF"/>
    <w:rsid w:val="00F202DF"/>
    <w:rsid w:val="00F25719"/>
    <w:rsid w:val="00F25A7B"/>
    <w:rsid w:val="00F346E0"/>
    <w:rsid w:val="00F361B3"/>
    <w:rsid w:val="00F36AAF"/>
    <w:rsid w:val="00F36B6A"/>
    <w:rsid w:val="00F430BC"/>
    <w:rsid w:val="00F45247"/>
    <w:rsid w:val="00F51700"/>
    <w:rsid w:val="00F6364B"/>
    <w:rsid w:val="00F6573D"/>
    <w:rsid w:val="00F710AA"/>
    <w:rsid w:val="00F735C0"/>
    <w:rsid w:val="00F7549C"/>
    <w:rsid w:val="00F75D22"/>
    <w:rsid w:val="00F82908"/>
    <w:rsid w:val="00F82FED"/>
    <w:rsid w:val="00F93A43"/>
    <w:rsid w:val="00F93F1B"/>
    <w:rsid w:val="00FA0126"/>
    <w:rsid w:val="00FA227B"/>
    <w:rsid w:val="00FA2351"/>
    <w:rsid w:val="00FA57BF"/>
    <w:rsid w:val="00FA68B6"/>
    <w:rsid w:val="00FB1BB1"/>
    <w:rsid w:val="00FB32FF"/>
    <w:rsid w:val="00FB3F80"/>
    <w:rsid w:val="00FC03A7"/>
    <w:rsid w:val="00FC4E1E"/>
    <w:rsid w:val="00FC5AC5"/>
    <w:rsid w:val="00FC695A"/>
    <w:rsid w:val="00FC712E"/>
    <w:rsid w:val="00FC7238"/>
    <w:rsid w:val="00FC76FE"/>
    <w:rsid w:val="00FD49A2"/>
    <w:rsid w:val="00FD761B"/>
    <w:rsid w:val="00FD797C"/>
    <w:rsid w:val="00FE17E8"/>
    <w:rsid w:val="00FE18E9"/>
    <w:rsid w:val="00FE28FC"/>
    <w:rsid w:val="00FE3489"/>
    <w:rsid w:val="00FE5483"/>
    <w:rsid w:val="00FE7C36"/>
    <w:rsid w:val="00FF0257"/>
    <w:rsid w:val="00FF56F3"/>
    <w:rsid w:val="00FF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8F9D11"/>
  <w15:docId w15:val="{198F539D-387C-41AC-BAF7-57AE76FE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he-IL"/>
    </w:rPr>
  </w:style>
  <w:style w:type="paragraph" w:styleId="Titre2">
    <w:name w:val="heading 2"/>
    <w:basedOn w:val="Normal"/>
    <w:next w:val="Normal"/>
    <w:link w:val="Titre2Car"/>
    <w:uiPriority w:val="9"/>
    <w:qFormat/>
    <w:rsid w:val="005B1F1C"/>
    <w:pPr>
      <w:keepNext/>
      <w:ind w:left="284"/>
      <w:outlineLvl w:val="1"/>
    </w:pPr>
    <w:rPr>
      <w:rFonts w:ascii="Trebuchet MS" w:hAnsi="Trebuchet MS" w:cs="Trebuchet MS"/>
      <w:b/>
      <w:bCs/>
      <w:i/>
      <w:iCs/>
      <w:lang w:bidi="ar-SA"/>
    </w:rPr>
  </w:style>
  <w:style w:type="paragraph" w:styleId="Titre5">
    <w:name w:val="heading 5"/>
    <w:basedOn w:val="Normal"/>
    <w:next w:val="Normal"/>
    <w:link w:val="Titre5Car"/>
    <w:qFormat/>
    <w:rsid w:val="00F710AA"/>
    <w:pPr>
      <w:keepNext/>
      <w:ind w:left="-180"/>
      <w:jc w:val="center"/>
      <w:outlineLvl w:val="4"/>
    </w:pPr>
    <w:rPr>
      <w:b/>
      <w:sz w:val="23"/>
      <w:szCs w:val="23"/>
    </w:rPr>
  </w:style>
  <w:style w:type="paragraph" w:styleId="Titre6">
    <w:name w:val="heading 6"/>
    <w:basedOn w:val="Normal"/>
    <w:next w:val="Normal"/>
    <w:link w:val="Titre6Car"/>
    <w:qFormat/>
    <w:rsid w:val="00F710AA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ind w:left="2268" w:right="2268"/>
      <w:jc w:val="center"/>
      <w:outlineLvl w:val="5"/>
    </w:pPr>
    <w:rPr>
      <w:b/>
      <w:sz w:val="31"/>
      <w:szCs w:val="3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B1F1C"/>
    <w:rPr>
      <w:rFonts w:ascii="Trebuchet MS" w:eastAsia="Times New Roman" w:hAnsi="Trebuchet MS" w:cs="Trebuchet MS"/>
      <w:b/>
      <w:bCs/>
      <w:i/>
      <w:iCs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99"/>
    <w:qFormat/>
    <w:rsid w:val="005B1F1C"/>
    <w:rPr>
      <w:b/>
      <w:bCs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5B1F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rsid w:val="00F710AA"/>
    <w:rPr>
      <w:rFonts w:ascii="Times New Roman" w:eastAsia="Times New Roman" w:hAnsi="Times New Roman" w:cs="Times New Roman"/>
      <w:b/>
      <w:sz w:val="23"/>
      <w:szCs w:val="23"/>
      <w:lang w:eastAsia="fr-FR" w:bidi="he-IL"/>
    </w:rPr>
  </w:style>
  <w:style w:type="character" w:customStyle="1" w:styleId="Titre6Car">
    <w:name w:val="Titre 6 Car"/>
    <w:basedOn w:val="Policepardfaut"/>
    <w:link w:val="Titre6"/>
    <w:rsid w:val="00F710AA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styleId="Numrodepage">
    <w:name w:val="page number"/>
    <w:basedOn w:val="Policepardfaut"/>
    <w:rsid w:val="00F710AA"/>
  </w:style>
  <w:style w:type="paragraph" w:styleId="En-tte">
    <w:name w:val="header"/>
    <w:basedOn w:val="Normal"/>
    <w:link w:val="En-tt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En-tteCar">
    <w:name w:val="En-tête Car"/>
    <w:basedOn w:val="Policepardfaut"/>
    <w:link w:val="En-tt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F710AA"/>
    <w:pPr>
      <w:tabs>
        <w:tab w:val="center" w:pos="4536"/>
        <w:tab w:val="right" w:pos="9072"/>
      </w:tabs>
    </w:pPr>
    <w:rPr>
      <w:sz w:val="20"/>
      <w:szCs w:val="20"/>
      <w:lang w:bidi="ar-SA"/>
    </w:rPr>
  </w:style>
  <w:style w:type="character" w:customStyle="1" w:styleId="PieddepageCar">
    <w:name w:val="Pied de page Car"/>
    <w:basedOn w:val="Policepardfaut"/>
    <w:link w:val="Pieddepage"/>
    <w:rsid w:val="00F710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10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0AA"/>
    <w:rPr>
      <w:rFonts w:ascii="Tahoma" w:eastAsia="Times New Roman" w:hAnsi="Tahoma" w:cs="Tahoma"/>
      <w:sz w:val="16"/>
      <w:szCs w:val="16"/>
      <w:lang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DOSSIER%20SSEI%202018\TRAITEMENT%20IHPI%202018\MAQUETTE%20IHPI\IHPI_2018_Revu\Serie%20IHPI_08_02_2018_Avec%20graphiqu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432576334208225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6005E-2"/>
          <c:y val="0.102210921551473"/>
          <c:w val="0.91134393035288797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IHPI_trimestrielle'!$I$3</c:f>
              <c:strCache>
                <c:ptCount val="1"/>
                <c:pt idx="0">
                  <c:v>INDICE GLOBAL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IHPI_trimestrielle'!$B$4:$B$79</c:f>
              <c:strCache>
                <c:ptCount val="76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  <c:pt idx="75">
                  <c:v>T4-18</c:v>
                </c:pt>
              </c:strCache>
            </c:strRef>
          </c:cat>
          <c:val>
            <c:numRef>
              <c:f>'Série IHPI_trimestrielle'!$I$4:$I$79</c:f>
              <c:numCache>
                <c:formatCode>0.0</c:formatCode>
                <c:ptCount val="76"/>
                <c:pt idx="0">
                  <c:v>61.349907999652309</c:v>
                </c:pt>
                <c:pt idx="1">
                  <c:v>64.477450808065569</c:v>
                </c:pt>
                <c:pt idx="2">
                  <c:v>58.889224801728609</c:v>
                </c:pt>
                <c:pt idx="3">
                  <c:v>69.164631746366283</c:v>
                </c:pt>
                <c:pt idx="4">
                  <c:v>75.156674385761804</c:v>
                </c:pt>
                <c:pt idx="5">
                  <c:v>82.050655015663949</c:v>
                </c:pt>
                <c:pt idx="6">
                  <c:v>72.566297988488529</c:v>
                </c:pt>
                <c:pt idx="7">
                  <c:v>83.004368600912471</c:v>
                </c:pt>
                <c:pt idx="8">
                  <c:v>83.882296915540138</c:v>
                </c:pt>
                <c:pt idx="9">
                  <c:v>84.67276918850996</c:v>
                </c:pt>
                <c:pt idx="10">
                  <c:v>82.890251580370972</c:v>
                </c:pt>
                <c:pt idx="11">
                  <c:v>89.284406726317997</c:v>
                </c:pt>
                <c:pt idx="12">
                  <c:v>94.212113546658998</c:v>
                </c:pt>
                <c:pt idx="13">
                  <c:v>93.778759734783065</c:v>
                </c:pt>
                <c:pt idx="14">
                  <c:v>86.981944280459629</c:v>
                </c:pt>
                <c:pt idx="15">
                  <c:v>87.145069655511463</c:v>
                </c:pt>
                <c:pt idx="16">
                  <c:v>85.202056368725508</c:v>
                </c:pt>
                <c:pt idx="17">
                  <c:v>91.946771587306984</c:v>
                </c:pt>
                <c:pt idx="18">
                  <c:v>84.11585420112381</c:v>
                </c:pt>
                <c:pt idx="19">
                  <c:v>87.959223786384115</c:v>
                </c:pt>
                <c:pt idx="20">
                  <c:v>87.31060152142858</c:v>
                </c:pt>
                <c:pt idx="21">
                  <c:v>93.670448519293032</c:v>
                </c:pt>
                <c:pt idx="22">
                  <c:v>105.9180722936634</c:v>
                </c:pt>
                <c:pt idx="23">
                  <c:v>87.653859656985304</c:v>
                </c:pt>
                <c:pt idx="24">
                  <c:v>94.239155926331406</c:v>
                </c:pt>
                <c:pt idx="25">
                  <c:v>92.271122396742371</c:v>
                </c:pt>
                <c:pt idx="26">
                  <c:v>92.445436500159204</c:v>
                </c:pt>
                <c:pt idx="27">
                  <c:v>92.796647941214175</c:v>
                </c:pt>
                <c:pt idx="28">
                  <c:v>95.477740518832348</c:v>
                </c:pt>
                <c:pt idx="29">
                  <c:v>95.95835444264975</c:v>
                </c:pt>
                <c:pt idx="30">
                  <c:v>100.38939406467161</c:v>
                </c:pt>
                <c:pt idx="31">
                  <c:v>108.1745109738463</c:v>
                </c:pt>
                <c:pt idx="32">
                  <c:v>102.90059612588681</c:v>
                </c:pt>
                <c:pt idx="33">
                  <c:v>103.3767047869563</c:v>
                </c:pt>
                <c:pt idx="34">
                  <c:v>103.2781816019602</c:v>
                </c:pt>
                <c:pt idx="35">
                  <c:v>119.8509042599714</c:v>
                </c:pt>
                <c:pt idx="36">
                  <c:v>111.4290974461061</c:v>
                </c:pt>
                <c:pt idx="37">
                  <c:v>113.0461825895335</c:v>
                </c:pt>
                <c:pt idx="38">
                  <c:v>112.458431337589</c:v>
                </c:pt>
                <c:pt idx="39">
                  <c:v>119.357013170988</c:v>
                </c:pt>
                <c:pt idx="40">
                  <c:v>114.092026994973</c:v>
                </c:pt>
                <c:pt idx="41">
                  <c:v>121.90696896518131</c:v>
                </c:pt>
                <c:pt idx="42">
                  <c:v>124.5121439815952</c:v>
                </c:pt>
                <c:pt idx="43">
                  <c:v>123.9375272605326</c:v>
                </c:pt>
                <c:pt idx="44">
                  <c:v>124.95646431572671</c:v>
                </c:pt>
                <c:pt idx="45">
                  <c:v>127.5336545330465</c:v>
                </c:pt>
                <c:pt idx="46">
                  <c:v>133.97892659924199</c:v>
                </c:pt>
                <c:pt idx="47">
                  <c:v>133.33888745315909</c:v>
                </c:pt>
                <c:pt idx="48">
                  <c:v>143.05434227984711</c:v>
                </c:pt>
                <c:pt idx="49">
                  <c:v>128.81632981869609</c:v>
                </c:pt>
                <c:pt idx="50">
                  <c:v>124.13783464912621</c:v>
                </c:pt>
                <c:pt idx="51">
                  <c:v>136.6367276915955</c:v>
                </c:pt>
                <c:pt idx="52">
                  <c:v>147.3979377786905</c:v>
                </c:pt>
                <c:pt idx="53">
                  <c:v>137.52925595318831</c:v>
                </c:pt>
                <c:pt idx="54">
                  <c:v>129.1085616029101</c:v>
                </c:pt>
                <c:pt idx="55">
                  <c:v>139.2323401286088</c:v>
                </c:pt>
                <c:pt idx="56">
                  <c:v>139.751076438555</c:v>
                </c:pt>
                <c:pt idx="57">
                  <c:v>132.19046161606539</c:v>
                </c:pt>
                <c:pt idx="58">
                  <c:v>133.55029533054</c:v>
                </c:pt>
                <c:pt idx="59">
                  <c:v>140.1809867031848</c:v>
                </c:pt>
                <c:pt idx="60">
                  <c:v>152.4098526580523</c:v>
                </c:pt>
                <c:pt idx="61">
                  <c:v>146.2987209740742</c:v>
                </c:pt>
                <c:pt idx="62">
                  <c:v>129.2655125508457</c:v>
                </c:pt>
                <c:pt idx="63">
                  <c:v>145.3502905428245</c:v>
                </c:pt>
                <c:pt idx="64">
                  <c:v>148.54084844128019</c:v>
                </c:pt>
                <c:pt idx="65">
                  <c:v>140.61774203610881</c:v>
                </c:pt>
                <c:pt idx="66">
                  <c:v>120.6483206258049</c:v>
                </c:pt>
                <c:pt idx="67">
                  <c:v>133.49896439219259</c:v>
                </c:pt>
                <c:pt idx="68">
                  <c:v>141.5281108505597</c:v>
                </c:pt>
                <c:pt idx="69">
                  <c:v>134.7695940903067</c:v>
                </c:pt>
                <c:pt idx="70">
                  <c:v>131.92630265236181</c:v>
                </c:pt>
                <c:pt idx="71">
                  <c:v>137.87028432806099</c:v>
                </c:pt>
                <c:pt idx="72">
                  <c:v>146.54360728670591</c:v>
                </c:pt>
                <c:pt idx="73">
                  <c:v>139.85547742302859</c:v>
                </c:pt>
                <c:pt idx="74">
                  <c:v>137.66823747730211</c:v>
                </c:pt>
                <c:pt idx="75">
                  <c:v>140.9356972817242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2643680"/>
        <c:axId val="-2092638240"/>
      </c:lineChart>
      <c:catAx>
        <c:axId val="-2092643680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92638240"/>
        <c:crosses val="autoZero"/>
        <c:auto val="1"/>
        <c:lblAlgn val="ctr"/>
        <c:lblOffset val="100"/>
        <c:tickMarkSkip val="1"/>
        <c:noMultiLvlLbl val="0"/>
      </c:catAx>
      <c:valAx>
        <c:axId val="-2092638240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92643680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450386883457802"/>
          <c:y val="0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IHPI_trimestrielle'!$D$3</c:f>
              <c:strCache>
                <c:ptCount val="1"/>
                <c:pt idx="0">
                  <c:v>Industrie alimentaire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IHPI_trimestrielle'!$B$4:$B$79</c:f>
              <c:strCache>
                <c:ptCount val="76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  <c:pt idx="75">
                  <c:v>T4-18</c:v>
                </c:pt>
              </c:strCache>
            </c:strRef>
          </c:cat>
          <c:val>
            <c:numRef>
              <c:f>'Série IHPI_trimestrielle'!$D$4:$D$79</c:f>
              <c:numCache>
                <c:formatCode>0.0</c:formatCode>
                <c:ptCount val="76"/>
                <c:pt idx="0">
                  <c:v>62.7895320940912</c:v>
                </c:pt>
                <c:pt idx="1">
                  <c:v>72.174888844064284</c:v>
                </c:pt>
                <c:pt idx="2">
                  <c:v>62.463637179616292</c:v>
                </c:pt>
                <c:pt idx="3">
                  <c:v>70.262030948390645</c:v>
                </c:pt>
                <c:pt idx="4">
                  <c:v>77.300007407103905</c:v>
                </c:pt>
                <c:pt idx="5">
                  <c:v>90.177571297188322</c:v>
                </c:pt>
                <c:pt idx="6">
                  <c:v>81.200462564466719</c:v>
                </c:pt>
                <c:pt idx="7">
                  <c:v>89.233410195655978</c:v>
                </c:pt>
                <c:pt idx="8">
                  <c:v>95.963810452586841</c:v>
                </c:pt>
                <c:pt idx="9">
                  <c:v>98.956499014860881</c:v>
                </c:pt>
                <c:pt idx="10">
                  <c:v>88.653282818221825</c:v>
                </c:pt>
                <c:pt idx="11">
                  <c:v>101.9921940601886</c:v>
                </c:pt>
                <c:pt idx="12">
                  <c:v>114.02723876216351</c:v>
                </c:pt>
                <c:pt idx="13">
                  <c:v>107.0445815397711</c:v>
                </c:pt>
                <c:pt idx="14">
                  <c:v>90.675146040108075</c:v>
                </c:pt>
                <c:pt idx="15">
                  <c:v>94.260885901304803</c:v>
                </c:pt>
                <c:pt idx="16">
                  <c:v>88.786619390101023</c:v>
                </c:pt>
                <c:pt idx="17">
                  <c:v>100.8762770279359</c:v>
                </c:pt>
                <c:pt idx="18">
                  <c:v>80.575535008678742</c:v>
                </c:pt>
                <c:pt idx="19">
                  <c:v>82.499644902594909</c:v>
                </c:pt>
                <c:pt idx="20">
                  <c:v>82.389529877678882</c:v>
                </c:pt>
                <c:pt idx="21">
                  <c:v>93.016248317961455</c:v>
                </c:pt>
                <c:pt idx="22">
                  <c:v>138.8952017376163</c:v>
                </c:pt>
                <c:pt idx="23">
                  <c:v>94.959338206183489</c:v>
                </c:pt>
                <c:pt idx="24">
                  <c:v>106.8192726632896</c:v>
                </c:pt>
                <c:pt idx="25">
                  <c:v>92.698654164695412</c:v>
                </c:pt>
                <c:pt idx="26">
                  <c:v>86.9534578597478</c:v>
                </c:pt>
                <c:pt idx="27">
                  <c:v>96.803998022119814</c:v>
                </c:pt>
                <c:pt idx="28">
                  <c:v>95.188107458309048</c:v>
                </c:pt>
                <c:pt idx="29">
                  <c:v>95.2934550359723</c:v>
                </c:pt>
                <c:pt idx="30">
                  <c:v>103.09895519308159</c:v>
                </c:pt>
                <c:pt idx="31">
                  <c:v>106.4194823126371</c:v>
                </c:pt>
                <c:pt idx="32">
                  <c:v>98.489458380487804</c:v>
                </c:pt>
                <c:pt idx="33">
                  <c:v>104.22208767547581</c:v>
                </c:pt>
                <c:pt idx="34">
                  <c:v>104.3758313240948</c:v>
                </c:pt>
                <c:pt idx="35">
                  <c:v>125.1567200837812</c:v>
                </c:pt>
                <c:pt idx="36">
                  <c:v>108.11373376083669</c:v>
                </c:pt>
                <c:pt idx="37">
                  <c:v>114.836897359764</c:v>
                </c:pt>
                <c:pt idx="38">
                  <c:v>106.8696945178653</c:v>
                </c:pt>
                <c:pt idx="39">
                  <c:v>124.36844892503601</c:v>
                </c:pt>
                <c:pt idx="40">
                  <c:v>101.9790017608783</c:v>
                </c:pt>
                <c:pt idx="41">
                  <c:v>124.5554258425389</c:v>
                </c:pt>
                <c:pt idx="42">
                  <c:v>116.4034301113434</c:v>
                </c:pt>
                <c:pt idx="43">
                  <c:v>116.34874775800751</c:v>
                </c:pt>
                <c:pt idx="44">
                  <c:v>123.4311813346945</c:v>
                </c:pt>
                <c:pt idx="45">
                  <c:v>137.81369172967231</c:v>
                </c:pt>
                <c:pt idx="46">
                  <c:v>133.0616290944823</c:v>
                </c:pt>
                <c:pt idx="47">
                  <c:v>143.55911255078061</c:v>
                </c:pt>
                <c:pt idx="48">
                  <c:v>149.38562335686129</c:v>
                </c:pt>
                <c:pt idx="49">
                  <c:v>129.0274825479367</c:v>
                </c:pt>
                <c:pt idx="50">
                  <c:v>110.9278272585974</c:v>
                </c:pt>
                <c:pt idx="51">
                  <c:v>130.65327388706621</c:v>
                </c:pt>
                <c:pt idx="52">
                  <c:v>154.14273538047061</c:v>
                </c:pt>
                <c:pt idx="53">
                  <c:v>141.20578661406671</c:v>
                </c:pt>
                <c:pt idx="54">
                  <c:v>111.26594465272861</c:v>
                </c:pt>
                <c:pt idx="55">
                  <c:v>132.24414537629281</c:v>
                </c:pt>
                <c:pt idx="56">
                  <c:v>144.84323096251481</c:v>
                </c:pt>
                <c:pt idx="57">
                  <c:v>139.18965118104671</c:v>
                </c:pt>
                <c:pt idx="58">
                  <c:v>125.4913571894557</c:v>
                </c:pt>
                <c:pt idx="59">
                  <c:v>123.483115454979</c:v>
                </c:pt>
                <c:pt idx="60">
                  <c:v>147.54992875032619</c:v>
                </c:pt>
                <c:pt idx="61">
                  <c:v>141.4216919473221</c:v>
                </c:pt>
                <c:pt idx="62">
                  <c:v>111.3765659012621</c:v>
                </c:pt>
                <c:pt idx="63">
                  <c:v>128.26005025658529</c:v>
                </c:pt>
                <c:pt idx="64">
                  <c:v>138.0630470276237</c:v>
                </c:pt>
                <c:pt idx="65">
                  <c:v>141.21383036450831</c:v>
                </c:pt>
                <c:pt idx="66">
                  <c:v>71.823983105260453</c:v>
                </c:pt>
                <c:pt idx="67">
                  <c:v>98.162562875732803</c:v>
                </c:pt>
                <c:pt idx="68">
                  <c:v>108.28368232645199</c:v>
                </c:pt>
                <c:pt idx="69">
                  <c:v>101.23016215992151</c:v>
                </c:pt>
                <c:pt idx="70">
                  <c:v>98.277955919195634</c:v>
                </c:pt>
                <c:pt idx="71">
                  <c:v>100.54806920855449</c:v>
                </c:pt>
                <c:pt idx="72">
                  <c:v>118.7560319357646</c:v>
                </c:pt>
                <c:pt idx="73">
                  <c:v>118.4666657979934</c:v>
                </c:pt>
                <c:pt idx="74">
                  <c:v>112.9340893105242</c:v>
                </c:pt>
                <c:pt idx="75">
                  <c:v>105.1968014713602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2637696"/>
        <c:axId val="-2092636608"/>
      </c:lineChart>
      <c:catAx>
        <c:axId val="-209263769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92636608"/>
        <c:crosses val="autoZero"/>
        <c:auto val="1"/>
        <c:lblAlgn val="ctr"/>
        <c:lblOffset val="100"/>
        <c:tickMarkSkip val="1"/>
        <c:noMultiLvlLbl val="0"/>
      </c:catAx>
      <c:valAx>
        <c:axId val="-2092636608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9263769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4620319895911"/>
          <c:y val="3.3499853070819898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IHPI_trimestrielle'!$E$3</c:f>
              <c:strCache>
                <c:ptCount val="1"/>
                <c:pt idx="0">
                  <c:v>Industrie textile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IHPI_trimestrielle'!$B$4:$B$79</c:f>
              <c:strCache>
                <c:ptCount val="76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  <c:pt idx="75">
                  <c:v>T4-18</c:v>
                </c:pt>
              </c:strCache>
            </c:strRef>
          </c:cat>
          <c:val>
            <c:numRef>
              <c:f>'Série IHPI_trimestrielle'!$E$4:$E$79</c:f>
              <c:numCache>
                <c:formatCode>0.0</c:formatCode>
                <c:ptCount val="76"/>
                <c:pt idx="0">
                  <c:v>119.9603663052152</c:v>
                </c:pt>
                <c:pt idx="1">
                  <c:v>135.73865420199061</c:v>
                </c:pt>
                <c:pt idx="2">
                  <c:v>92.776633401451605</c:v>
                </c:pt>
                <c:pt idx="3">
                  <c:v>153.25369112036941</c:v>
                </c:pt>
                <c:pt idx="4">
                  <c:v>138.20461304219589</c:v>
                </c:pt>
                <c:pt idx="5">
                  <c:v>143.51251586204631</c:v>
                </c:pt>
                <c:pt idx="6">
                  <c:v>74.451860680312905</c:v>
                </c:pt>
                <c:pt idx="7">
                  <c:v>132.7235602767791</c:v>
                </c:pt>
                <c:pt idx="8">
                  <c:v>122.1284066614632</c:v>
                </c:pt>
                <c:pt idx="9">
                  <c:v>94.168253869317496</c:v>
                </c:pt>
                <c:pt idx="10">
                  <c:v>62.896459392591169</c:v>
                </c:pt>
                <c:pt idx="11">
                  <c:v>102.288384353445</c:v>
                </c:pt>
                <c:pt idx="12">
                  <c:v>72.943928097728971</c:v>
                </c:pt>
                <c:pt idx="13">
                  <c:v>94.7929851653127</c:v>
                </c:pt>
                <c:pt idx="14">
                  <c:v>106.69768896536399</c:v>
                </c:pt>
                <c:pt idx="15">
                  <c:v>81.447081669734445</c:v>
                </c:pt>
                <c:pt idx="16">
                  <c:v>57.909029897954809</c:v>
                </c:pt>
                <c:pt idx="17">
                  <c:v>67.045699342863102</c:v>
                </c:pt>
                <c:pt idx="18">
                  <c:v>68.429356379922311</c:v>
                </c:pt>
                <c:pt idx="19">
                  <c:v>62.624673306716197</c:v>
                </c:pt>
                <c:pt idx="20">
                  <c:v>58.024057125656341</c:v>
                </c:pt>
                <c:pt idx="21">
                  <c:v>50.289318813001309</c:v>
                </c:pt>
                <c:pt idx="22">
                  <c:v>42.344558833761383</c:v>
                </c:pt>
                <c:pt idx="23">
                  <c:v>41.57793705069782</c:v>
                </c:pt>
                <c:pt idx="24">
                  <c:v>39.240327523781801</c:v>
                </c:pt>
                <c:pt idx="25">
                  <c:v>53.119091396744743</c:v>
                </c:pt>
                <c:pt idx="26">
                  <c:v>70.241156119374835</c:v>
                </c:pt>
                <c:pt idx="27">
                  <c:v>71.834313163799678</c:v>
                </c:pt>
                <c:pt idx="28">
                  <c:v>132.0814137970292</c:v>
                </c:pt>
                <c:pt idx="29">
                  <c:v>81.327709197320743</c:v>
                </c:pt>
                <c:pt idx="30">
                  <c:v>92.634246688180966</c:v>
                </c:pt>
                <c:pt idx="31">
                  <c:v>93.956630317469063</c:v>
                </c:pt>
                <c:pt idx="32">
                  <c:v>133.20451648384491</c:v>
                </c:pt>
                <c:pt idx="33">
                  <c:v>176.08349563339141</c:v>
                </c:pt>
                <c:pt idx="34">
                  <c:v>176.08349563339141</c:v>
                </c:pt>
                <c:pt idx="35">
                  <c:v>141.31017600588561</c:v>
                </c:pt>
                <c:pt idx="36">
                  <c:v>117.8492010639456</c:v>
                </c:pt>
                <c:pt idx="37">
                  <c:v>121.90496313143829</c:v>
                </c:pt>
                <c:pt idx="38">
                  <c:v>135.29204903394441</c:v>
                </c:pt>
                <c:pt idx="39">
                  <c:v>139.51407220746151</c:v>
                </c:pt>
                <c:pt idx="40">
                  <c:v>61.33924472567206</c:v>
                </c:pt>
                <c:pt idx="41">
                  <c:v>129.33241279757499</c:v>
                </c:pt>
                <c:pt idx="42">
                  <c:v>131.9831570464853</c:v>
                </c:pt>
                <c:pt idx="43">
                  <c:v>41.839574179884288</c:v>
                </c:pt>
                <c:pt idx="44">
                  <c:v>119.7025929044236</c:v>
                </c:pt>
                <c:pt idx="45">
                  <c:v>91.891022383791281</c:v>
                </c:pt>
                <c:pt idx="46">
                  <c:v>130.65902464356</c:v>
                </c:pt>
                <c:pt idx="47">
                  <c:v>120.3220953494708</c:v>
                </c:pt>
                <c:pt idx="48">
                  <c:v>100.6684888618485</c:v>
                </c:pt>
                <c:pt idx="49">
                  <c:v>99.571946059823887</c:v>
                </c:pt>
                <c:pt idx="50">
                  <c:v>109.42489512671069</c:v>
                </c:pt>
                <c:pt idx="51">
                  <c:v>99.571946059823887</c:v>
                </c:pt>
                <c:pt idx="52">
                  <c:v>91.214329511516794</c:v>
                </c:pt>
                <c:pt idx="53">
                  <c:v>90.387396334283665</c:v>
                </c:pt>
                <c:pt idx="54">
                  <c:v>86.746934543492486</c:v>
                </c:pt>
                <c:pt idx="55">
                  <c:v>92.689103680132803</c:v>
                </c:pt>
                <c:pt idx="56">
                  <c:v>92.917372678301206</c:v>
                </c:pt>
                <c:pt idx="57">
                  <c:v>94.316807712332448</c:v>
                </c:pt>
                <c:pt idx="58">
                  <c:v>104.2460243738896</c:v>
                </c:pt>
                <c:pt idx="59">
                  <c:v>106.8537535006012</c:v>
                </c:pt>
                <c:pt idx="60">
                  <c:v>88.484383762531152</c:v>
                </c:pt>
                <c:pt idx="61">
                  <c:v>84.882100090474154</c:v>
                </c:pt>
                <c:pt idx="62">
                  <c:v>86.415672653377626</c:v>
                </c:pt>
                <c:pt idx="63">
                  <c:v>85.592557660538304</c:v>
                </c:pt>
                <c:pt idx="64">
                  <c:v>86.826660324419151</c:v>
                </c:pt>
                <c:pt idx="65">
                  <c:v>83.652790522514749</c:v>
                </c:pt>
                <c:pt idx="66">
                  <c:v>92.179517205586706</c:v>
                </c:pt>
                <c:pt idx="67">
                  <c:v>82.713959740545704</c:v>
                </c:pt>
                <c:pt idx="68">
                  <c:v>74.567833895073306</c:v>
                </c:pt>
                <c:pt idx="69">
                  <c:v>80.03274367185918</c:v>
                </c:pt>
                <c:pt idx="70">
                  <c:v>72.654302987114605</c:v>
                </c:pt>
                <c:pt idx="71">
                  <c:v>69.709036924700513</c:v>
                </c:pt>
                <c:pt idx="72">
                  <c:v>71.489065295868585</c:v>
                </c:pt>
                <c:pt idx="73">
                  <c:v>62.961760439110172</c:v>
                </c:pt>
                <c:pt idx="74">
                  <c:v>74.016508967742126</c:v>
                </c:pt>
                <c:pt idx="75">
                  <c:v>65.0912526821608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2645856"/>
        <c:axId val="-2092636064"/>
      </c:lineChart>
      <c:catAx>
        <c:axId val="-209264585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92636064"/>
        <c:crosses val="autoZero"/>
        <c:auto val="1"/>
        <c:lblAlgn val="ctr"/>
        <c:lblOffset val="100"/>
        <c:tickMarkSkip val="1"/>
        <c:noMultiLvlLbl val="0"/>
      </c:catAx>
      <c:valAx>
        <c:axId val="-2092636064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9264585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1041485279277398"/>
          <c:y val="2.44764383531556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25454494862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IHPI_trimestrielle'!$F$3</c:f>
              <c:strCache>
                <c:ptCount val="1"/>
                <c:pt idx="0">
                  <c:v>Industrie chimique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IHPI_trimestrielle'!$B$4:$B$79</c:f>
              <c:strCache>
                <c:ptCount val="76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  <c:pt idx="75">
                  <c:v>T4-18</c:v>
                </c:pt>
              </c:strCache>
            </c:strRef>
          </c:cat>
          <c:val>
            <c:numRef>
              <c:f>'Série IHPI_trimestrielle'!$F$4:$F$79</c:f>
              <c:numCache>
                <c:formatCode>0.0</c:formatCode>
                <c:ptCount val="76"/>
                <c:pt idx="0">
                  <c:v>151.35728558258711</c:v>
                </c:pt>
                <c:pt idx="1">
                  <c:v>135.74765157854691</c:v>
                </c:pt>
                <c:pt idx="2">
                  <c:v>125.2588883077202</c:v>
                </c:pt>
                <c:pt idx="3">
                  <c:v>149.63011101732511</c:v>
                </c:pt>
                <c:pt idx="4">
                  <c:v>125.8523033354472</c:v>
                </c:pt>
                <c:pt idx="5">
                  <c:v>140.1301978026973</c:v>
                </c:pt>
                <c:pt idx="6">
                  <c:v>137.86569876849649</c:v>
                </c:pt>
                <c:pt idx="7">
                  <c:v>156.34300587720821</c:v>
                </c:pt>
                <c:pt idx="8">
                  <c:v>150.07407431382919</c:v>
                </c:pt>
                <c:pt idx="9">
                  <c:v>152.5385594931073</c:v>
                </c:pt>
                <c:pt idx="10">
                  <c:v>148.77516687367981</c:v>
                </c:pt>
                <c:pt idx="11">
                  <c:v>171.9956276161578</c:v>
                </c:pt>
                <c:pt idx="12">
                  <c:v>158.7542520954851</c:v>
                </c:pt>
                <c:pt idx="13">
                  <c:v>114.71099548640839</c:v>
                </c:pt>
                <c:pt idx="14">
                  <c:v>137.04211700720609</c:v>
                </c:pt>
                <c:pt idx="15">
                  <c:v>145.98677847585719</c:v>
                </c:pt>
                <c:pt idx="16">
                  <c:v>140.6015873997533</c:v>
                </c:pt>
                <c:pt idx="17">
                  <c:v>142.83749246957731</c:v>
                </c:pt>
                <c:pt idx="18">
                  <c:v>153.53062418557809</c:v>
                </c:pt>
                <c:pt idx="19">
                  <c:v>163.73911841170761</c:v>
                </c:pt>
                <c:pt idx="20">
                  <c:v>119.09345469771149</c:v>
                </c:pt>
                <c:pt idx="21">
                  <c:v>139.21304481269109</c:v>
                </c:pt>
                <c:pt idx="22">
                  <c:v>120.3090343028116</c:v>
                </c:pt>
                <c:pt idx="23">
                  <c:v>141.9162866222498</c:v>
                </c:pt>
                <c:pt idx="24">
                  <c:v>126.0837178146836</c:v>
                </c:pt>
                <c:pt idx="25">
                  <c:v>115.06843518834491</c:v>
                </c:pt>
                <c:pt idx="26">
                  <c:v>139.62988585246799</c:v>
                </c:pt>
                <c:pt idx="27">
                  <c:v>117.2261314008578</c:v>
                </c:pt>
                <c:pt idx="28">
                  <c:v>111.61931798707</c:v>
                </c:pt>
                <c:pt idx="29">
                  <c:v>94.025963900326161</c:v>
                </c:pt>
                <c:pt idx="30">
                  <c:v>103.7063762663756</c:v>
                </c:pt>
                <c:pt idx="31">
                  <c:v>90.648341846228206</c:v>
                </c:pt>
                <c:pt idx="32">
                  <c:v>89.893671746587884</c:v>
                </c:pt>
                <c:pt idx="33">
                  <c:v>98.632094666294748</c:v>
                </c:pt>
                <c:pt idx="34">
                  <c:v>79.542029082403573</c:v>
                </c:pt>
                <c:pt idx="35">
                  <c:v>91.673741188480577</c:v>
                </c:pt>
                <c:pt idx="36">
                  <c:v>78.569976291074113</c:v>
                </c:pt>
                <c:pt idx="37">
                  <c:v>68.030145944350622</c:v>
                </c:pt>
                <c:pt idx="38">
                  <c:v>67.245844334871805</c:v>
                </c:pt>
                <c:pt idx="39">
                  <c:v>89.17393472110011</c:v>
                </c:pt>
                <c:pt idx="40">
                  <c:v>51.642190890541329</c:v>
                </c:pt>
                <c:pt idx="41">
                  <c:v>49.30158199168892</c:v>
                </c:pt>
                <c:pt idx="42">
                  <c:v>40.705309296742719</c:v>
                </c:pt>
                <c:pt idx="43">
                  <c:v>49.347907515322497</c:v>
                </c:pt>
                <c:pt idx="44">
                  <c:v>65.399826847938328</c:v>
                </c:pt>
                <c:pt idx="45">
                  <c:v>42.385481394938253</c:v>
                </c:pt>
                <c:pt idx="46">
                  <c:v>52.343951478003298</c:v>
                </c:pt>
                <c:pt idx="47">
                  <c:v>77.75274142942429</c:v>
                </c:pt>
                <c:pt idx="48">
                  <c:v>192.574727302567</c:v>
                </c:pt>
                <c:pt idx="49">
                  <c:v>62.894210356904551</c:v>
                </c:pt>
                <c:pt idx="50">
                  <c:v>81.392488863042828</c:v>
                </c:pt>
                <c:pt idx="51">
                  <c:v>93.806161343138953</c:v>
                </c:pt>
                <c:pt idx="52">
                  <c:v>157.3031440261943</c:v>
                </c:pt>
                <c:pt idx="53">
                  <c:v>81.730643508008527</c:v>
                </c:pt>
                <c:pt idx="54">
                  <c:v>83.157878094845785</c:v>
                </c:pt>
                <c:pt idx="55">
                  <c:v>100.522390335971</c:v>
                </c:pt>
                <c:pt idx="56">
                  <c:v>109.32697936994001</c:v>
                </c:pt>
                <c:pt idx="57">
                  <c:v>78.597207393476879</c:v>
                </c:pt>
                <c:pt idx="58">
                  <c:v>77.70169015838961</c:v>
                </c:pt>
                <c:pt idx="59">
                  <c:v>94.260313594962227</c:v>
                </c:pt>
                <c:pt idx="60">
                  <c:v>194.5796727836433</c:v>
                </c:pt>
                <c:pt idx="61">
                  <c:v>130.59219073352889</c:v>
                </c:pt>
                <c:pt idx="62">
                  <c:v>75.253789601799681</c:v>
                </c:pt>
                <c:pt idx="63">
                  <c:v>93.303724184607773</c:v>
                </c:pt>
                <c:pt idx="64">
                  <c:v>123.40573058294621</c:v>
                </c:pt>
                <c:pt idx="65">
                  <c:v>91.723014622215445</c:v>
                </c:pt>
                <c:pt idx="66">
                  <c:v>73.647415664114902</c:v>
                </c:pt>
                <c:pt idx="67">
                  <c:v>139.04555546057949</c:v>
                </c:pt>
                <c:pt idx="68">
                  <c:v>172.07421228919239</c:v>
                </c:pt>
                <c:pt idx="69">
                  <c:v>108.37813285553101</c:v>
                </c:pt>
                <c:pt idx="70">
                  <c:v>86.62982562547198</c:v>
                </c:pt>
                <c:pt idx="71">
                  <c:v>123.2396424113595</c:v>
                </c:pt>
                <c:pt idx="72">
                  <c:v>160.1278897096521</c:v>
                </c:pt>
                <c:pt idx="73">
                  <c:v>124.4783770688199</c:v>
                </c:pt>
                <c:pt idx="74">
                  <c:v>82.669002218455745</c:v>
                </c:pt>
                <c:pt idx="75">
                  <c:v>92.681528865948394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2643136"/>
        <c:axId val="-2092637152"/>
      </c:lineChart>
      <c:catAx>
        <c:axId val="-209264313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92637152"/>
        <c:crosses val="autoZero"/>
        <c:auto val="1"/>
        <c:lblAlgn val="ctr"/>
        <c:lblOffset val="100"/>
        <c:tickMarkSkip val="1"/>
        <c:noMultiLvlLbl val="0"/>
      </c:catAx>
      <c:valAx>
        <c:axId val="-209263715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9264313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865532131064301"/>
          <c:y val="9.2272295750265194E-3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090153905732096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IHPI_trimestrielle'!$G$3</c:f>
              <c:strCache>
                <c:ptCount val="1"/>
                <c:pt idx="0">
                  <c:v>Energie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IHPI_trimestrielle'!$B$4:$B$79</c:f>
              <c:strCache>
                <c:ptCount val="76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  <c:pt idx="75">
                  <c:v>T4-18</c:v>
                </c:pt>
              </c:strCache>
            </c:strRef>
          </c:cat>
          <c:val>
            <c:numRef>
              <c:f>'Série IHPI_trimestrielle'!$G$4:$G$79</c:f>
              <c:numCache>
                <c:formatCode>0.0</c:formatCode>
                <c:ptCount val="76"/>
                <c:pt idx="0">
                  <c:v>59.113224466421713</c:v>
                </c:pt>
                <c:pt idx="1">
                  <c:v>58.947970053207563</c:v>
                </c:pt>
                <c:pt idx="2">
                  <c:v>53.256602855306127</c:v>
                </c:pt>
                <c:pt idx="3">
                  <c:v>62.62268121397026</c:v>
                </c:pt>
                <c:pt idx="4">
                  <c:v>67.319555246405514</c:v>
                </c:pt>
                <c:pt idx="5">
                  <c:v>66.999220812004509</c:v>
                </c:pt>
                <c:pt idx="6">
                  <c:v>61.937483887022942</c:v>
                </c:pt>
                <c:pt idx="7">
                  <c:v>72.931769995597904</c:v>
                </c:pt>
                <c:pt idx="8">
                  <c:v>75.475426161439941</c:v>
                </c:pt>
                <c:pt idx="9">
                  <c:v>81.730539058472985</c:v>
                </c:pt>
                <c:pt idx="10">
                  <c:v>75.218331383882841</c:v>
                </c:pt>
                <c:pt idx="11">
                  <c:v>82.106027650637373</c:v>
                </c:pt>
                <c:pt idx="12">
                  <c:v>84.735546975320972</c:v>
                </c:pt>
                <c:pt idx="13">
                  <c:v>87.056163771843245</c:v>
                </c:pt>
                <c:pt idx="14">
                  <c:v>79.874985743282053</c:v>
                </c:pt>
                <c:pt idx="15">
                  <c:v>86.429481310053163</c:v>
                </c:pt>
                <c:pt idx="16">
                  <c:v>84.034071375514472</c:v>
                </c:pt>
                <c:pt idx="17">
                  <c:v>87.523022920859304</c:v>
                </c:pt>
                <c:pt idx="18">
                  <c:v>81.075171471380727</c:v>
                </c:pt>
                <c:pt idx="19">
                  <c:v>90.041563286605282</c:v>
                </c:pt>
                <c:pt idx="20">
                  <c:v>91.468685909092443</c:v>
                </c:pt>
                <c:pt idx="21">
                  <c:v>94.841435779873123</c:v>
                </c:pt>
                <c:pt idx="22">
                  <c:v>93.334268567429405</c:v>
                </c:pt>
                <c:pt idx="23">
                  <c:v>85.88620103442274</c:v>
                </c:pt>
                <c:pt idx="24">
                  <c:v>90.865950655667731</c:v>
                </c:pt>
                <c:pt idx="25">
                  <c:v>95.372026145330011</c:v>
                </c:pt>
                <c:pt idx="26">
                  <c:v>94.418637130710849</c:v>
                </c:pt>
                <c:pt idx="27">
                  <c:v>95.558226483744576</c:v>
                </c:pt>
                <c:pt idx="28">
                  <c:v>92.655231921696782</c:v>
                </c:pt>
                <c:pt idx="29">
                  <c:v>96.689130868358944</c:v>
                </c:pt>
                <c:pt idx="30">
                  <c:v>98.811924849041503</c:v>
                </c:pt>
                <c:pt idx="31">
                  <c:v>111.8437123609027</c:v>
                </c:pt>
                <c:pt idx="32">
                  <c:v>106.9985157215951</c:v>
                </c:pt>
                <c:pt idx="33">
                  <c:v>107.3730573386002</c:v>
                </c:pt>
                <c:pt idx="34">
                  <c:v>101.4779544574733</c:v>
                </c:pt>
                <c:pt idx="35">
                  <c:v>116.6906528033504</c:v>
                </c:pt>
                <c:pt idx="36">
                  <c:v>124.26778898520971</c:v>
                </c:pt>
                <c:pt idx="37">
                  <c:v>116.8863207974031</c:v>
                </c:pt>
                <c:pt idx="38">
                  <c:v>117.4581255584861</c:v>
                </c:pt>
                <c:pt idx="39">
                  <c:v>127.52470983278189</c:v>
                </c:pt>
                <c:pt idx="40">
                  <c:v>139.83478595622029</c:v>
                </c:pt>
                <c:pt idx="41">
                  <c:v>133.45958015994589</c:v>
                </c:pt>
                <c:pt idx="42">
                  <c:v>120.1658196975859</c:v>
                </c:pt>
                <c:pt idx="43">
                  <c:v>130.0684014259495</c:v>
                </c:pt>
                <c:pt idx="44">
                  <c:v>137.44183740756631</c:v>
                </c:pt>
                <c:pt idx="45">
                  <c:v>134.9211064302763</c:v>
                </c:pt>
                <c:pt idx="46">
                  <c:v>125.7831229933107</c:v>
                </c:pt>
                <c:pt idx="47">
                  <c:v>138.46594671993509</c:v>
                </c:pt>
                <c:pt idx="48">
                  <c:v>186.58090071755839</c:v>
                </c:pt>
                <c:pt idx="49">
                  <c:v>175.73035447241381</c:v>
                </c:pt>
                <c:pt idx="50">
                  <c:v>174.17623263255351</c:v>
                </c:pt>
                <c:pt idx="51">
                  <c:v>189.71889378675459</c:v>
                </c:pt>
                <c:pt idx="52">
                  <c:v>195.4493768615788</c:v>
                </c:pt>
                <c:pt idx="53">
                  <c:v>186.2027821147181</c:v>
                </c:pt>
                <c:pt idx="54">
                  <c:v>178.55012290271031</c:v>
                </c:pt>
                <c:pt idx="55">
                  <c:v>196.47569362469261</c:v>
                </c:pt>
                <c:pt idx="56">
                  <c:v>194.04826008384339</c:v>
                </c:pt>
                <c:pt idx="57">
                  <c:v>193.20337358528221</c:v>
                </c:pt>
                <c:pt idx="58">
                  <c:v>185.79155129939491</c:v>
                </c:pt>
                <c:pt idx="59">
                  <c:v>208.10067366608979</c:v>
                </c:pt>
                <c:pt idx="60">
                  <c:v>215.15317962945051</c:v>
                </c:pt>
                <c:pt idx="61">
                  <c:v>207.1440862616513</c:v>
                </c:pt>
                <c:pt idx="62">
                  <c:v>195.26889121665079</c:v>
                </c:pt>
                <c:pt idx="63">
                  <c:v>222.19047235478359</c:v>
                </c:pt>
                <c:pt idx="64">
                  <c:v>219.79336767455189</c:v>
                </c:pt>
                <c:pt idx="65">
                  <c:v>204.92291836468931</c:v>
                </c:pt>
                <c:pt idx="66">
                  <c:v>202.6585017960044</c:v>
                </c:pt>
                <c:pt idx="67">
                  <c:v>216.63898947071701</c:v>
                </c:pt>
                <c:pt idx="68">
                  <c:v>232.7416367964114</c:v>
                </c:pt>
                <c:pt idx="69">
                  <c:v>232.19798126516901</c:v>
                </c:pt>
                <c:pt idx="70">
                  <c:v>202.28982286430499</c:v>
                </c:pt>
                <c:pt idx="71">
                  <c:v>226.88468793298301</c:v>
                </c:pt>
                <c:pt idx="72">
                  <c:v>232.63630789557249</c:v>
                </c:pt>
                <c:pt idx="73">
                  <c:v>229.25189047716421</c:v>
                </c:pt>
                <c:pt idx="74">
                  <c:v>210.87004059848181</c:v>
                </c:pt>
                <c:pt idx="75">
                  <c:v>229.9140896976956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2639328"/>
        <c:axId val="-2092639872"/>
      </c:lineChart>
      <c:catAx>
        <c:axId val="-2092639328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92639872"/>
        <c:crosses val="autoZero"/>
        <c:auto val="1"/>
        <c:lblAlgn val="ctr"/>
        <c:lblOffset val="100"/>
        <c:tickMarkSkip val="1"/>
        <c:noMultiLvlLbl val="0"/>
      </c:catAx>
      <c:valAx>
        <c:axId val="-2092639872"/>
        <c:scaling>
          <c:orientation val="minMax"/>
          <c:max val="250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92639328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/>
              <a:t>Industrie  Extractive</a:t>
            </a:r>
          </a:p>
        </c:rich>
      </c:tx>
      <c:layout>
        <c:manualLayout>
          <c:xMode val="edge"/>
          <c:yMode val="edge"/>
          <c:x val="0.27737057139702198"/>
          <c:y val="4.6135354576005098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87382316855363495"/>
          <c:h val="0.6976130389861040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IHPI_trimestrielle'!$C$3</c:f>
              <c:strCache>
                <c:ptCount val="1"/>
                <c:pt idx="0">
                  <c:v>Industrie 
Extractive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IHPI_trimestrielle'!$B$52:$B$79</c:f>
              <c:strCache>
                <c:ptCount val="28"/>
                <c:pt idx="0">
                  <c:v>T1-12</c:v>
                </c:pt>
                <c:pt idx="1">
                  <c:v>T2-12</c:v>
                </c:pt>
                <c:pt idx="2">
                  <c:v>T3-12</c:v>
                </c:pt>
                <c:pt idx="3">
                  <c:v>T4-12</c:v>
                </c:pt>
                <c:pt idx="4">
                  <c:v>T1-13</c:v>
                </c:pt>
                <c:pt idx="5">
                  <c:v>T2-13</c:v>
                </c:pt>
                <c:pt idx="6">
                  <c:v>T3-13</c:v>
                </c:pt>
                <c:pt idx="7">
                  <c:v>T4-13</c:v>
                </c:pt>
                <c:pt idx="8">
                  <c:v>T1-14</c:v>
                </c:pt>
                <c:pt idx="9">
                  <c:v>T2-14</c:v>
                </c:pt>
                <c:pt idx="10">
                  <c:v>T3-14</c:v>
                </c:pt>
                <c:pt idx="11">
                  <c:v>T4-14</c:v>
                </c:pt>
                <c:pt idx="12">
                  <c:v>T1-15</c:v>
                </c:pt>
                <c:pt idx="13">
                  <c:v>T2-15</c:v>
                </c:pt>
                <c:pt idx="14">
                  <c:v>T3-15</c:v>
                </c:pt>
                <c:pt idx="15">
                  <c:v>T4-15</c:v>
                </c:pt>
                <c:pt idx="16">
                  <c:v>T1-16</c:v>
                </c:pt>
                <c:pt idx="17">
                  <c:v>T2-16</c:v>
                </c:pt>
                <c:pt idx="18">
                  <c:v>T3-16</c:v>
                </c:pt>
                <c:pt idx="19">
                  <c:v>T4-16</c:v>
                </c:pt>
                <c:pt idx="20">
                  <c:v>T1-17</c:v>
                </c:pt>
                <c:pt idx="21">
                  <c:v>T2-17</c:v>
                </c:pt>
                <c:pt idx="22">
                  <c:v>T3-17</c:v>
                </c:pt>
                <c:pt idx="23">
                  <c:v>T4-17</c:v>
                </c:pt>
                <c:pt idx="24">
                  <c:v>T1-18</c:v>
                </c:pt>
                <c:pt idx="25">
                  <c:v>T2-18</c:v>
                </c:pt>
                <c:pt idx="26">
                  <c:v>T3-18</c:v>
                </c:pt>
                <c:pt idx="27">
                  <c:v>T4-18</c:v>
                </c:pt>
              </c:strCache>
            </c:strRef>
          </c:cat>
          <c:val>
            <c:numRef>
              <c:f>'Série IHPI_trimestrielle'!$C$52:$C$79</c:f>
              <c:numCache>
                <c:formatCode>0.0</c:formatCode>
                <c:ptCount val="28"/>
                <c:pt idx="0">
                  <c:v>110.7149943474148</c:v>
                </c:pt>
                <c:pt idx="1">
                  <c:v>115.96382345476781</c:v>
                </c:pt>
                <c:pt idx="2">
                  <c:v>129.4317421498281</c:v>
                </c:pt>
                <c:pt idx="3">
                  <c:v>94.987887317444475</c:v>
                </c:pt>
                <c:pt idx="4">
                  <c:v>103.6757953994877</c:v>
                </c:pt>
                <c:pt idx="5">
                  <c:v>112.9571095678657</c:v>
                </c:pt>
                <c:pt idx="6">
                  <c:v>101.2010366816212</c:v>
                </c:pt>
                <c:pt idx="7">
                  <c:v>84.745402948573016</c:v>
                </c:pt>
                <c:pt idx="8">
                  <c:v>107.7212006552385</c:v>
                </c:pt>
                <c:pt idx="9">
                  <c:v>98.199478577855615</c:v>
                </c:pt>
                <c:pt idx="10">
                  <c:v>121.61825438940549</c:v>
                </c:pt>
                <c:pt idx="11">
                  <c:v>95.65789170108205</c:v>
                </c:pt>
                <c:pt idx="12">
                  <c:v>91.474517223081008</c:v>
                </c:pt>
                <c:pt idx="13">
                  <c:v>118.7591998707981</c:v>
                </c:pt>
                <c:pt idx="14">
                  <c:v>119.41213113997649</c:v>
                </c:pt>
                <c:pt idx="15">
                  <c:v>105.51000161502429</c:v>
                </c:pt>
                <c:pt idx="16">
                  <c:v>144.29596474632569</c:v>
                </c:pt>
                <c:pt idx="17">
                  <c:v>43.733013404702028</c:v>
                </c:pt>
                <c:pt idx="18">
                  <c:v>118.7282836905613</c:v>
                </c:pt>
                <c:pt idx="19">
                  <c:v>88.882172438455925</c:v>
                </c:pt>
                <c:pt idx="20">
                  <c:v>89.489883026094148</c:v>
                </c:pt>
                <c:pt idx="21">
                  <c:v>75.611748148489824</c:v>
                </c:pt>
                <c:pt idx="22">
                  <c:v>99.960316544770777</c:v>
                </c:pt>
                <c:pt idx="23">
                  <c:v>28.31460674157303</c:v>
                </c:pt>
                <c:pt idx="24">
                  <c:v>104.40993932122841</c:v>
                </c:pt>
                <c:pt idx="25">
                  <c:v>82.573887363588014</c:v>
                </c:pt>
                <c:pt idx="26">
                  <c:v>97.163094386636772</c:v>
                </c:pt>
                <c:pt idx="27">
                  <c:v>95.525459705142694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2638784"/>
        <c:axId val="-2092642592"/>
      </c:lineChart>
      <c:catAx>
        <c:axId val="-2092638784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crossAx val="-2092642592"/>
        <c:crosses val="autoZero"/>
        <c:auto val="1"/>
        <c:lblAlgn val="ctr"/>
        <c:lblOffset val="100"/>
        <c:tickMarkSkip val="1"/>
        <c:noMultiLvlLbl val="0"/>
      </c:catAx>
      <c:valAx>
        <c:axId val="-2092642592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92638784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2065173312902001"/>
          <c:y val="7.5534805936868497E-4"/>
        </c:manualLayout>
      </c:layout>
      <c:overlay val="0"/>
      <c:txPr>
        <a:bodyPr/>
        <a:lstStyle/>
        <a:p>
          <a:pPr>
            <a:defRPr sz="1200"/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7.4446449108005894E-2"/>
          <c:y val="0.102210921551473"/>
          <c:w val="0.91287521571388797"/>
          <c:h val="0.711344415281425"/>
        </c:manualLayout>
      </c:layout>
      <c:lineChart>
        <c:grouping val="standard"/>
        <c:varyColors val="0"/>
        <c:ser>
          <c:idx val="0"/>
          <c:order val="0"/>
          <c:tx>
            <c:strRef>
              <c:f>'Série IHPI_trimestrielle'!$H$3</c:f>
              <c:strCache>
                <c:ptCount val="1"/>
                <c:pt idx="0">
                  <c:v> Autres industries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'Série IHPI_trimestrielle'!$B$4:$B$79</c:f>
              <c:strCache>
                <c:ptCount val="76"/>
                <c:pt idx="0">
                  <c:v>T1-00</c:v>
                </c:pt>
                <c:pt idx="1">
                  <c:v>T2-00</c:v>
                </c:pt>
                <c:pt idx="2">
                  <c:v>T3-00</c:v>
                </c:pt>
                <c:pt idx="3">
                  <c:v>T4-00</c:v>
                </c:pt>
                <c:pt idx="4">
                  <c:v>T1-01</c:v>
                </c:pt>
                <c:pt idx="5">
                  <c:v>T2-01</c:v>
                </c:pt>
                <c:pt idx="6">
                  <c:v>T3-01</c:v>
                </c:pt>
                <c:pt idx="7">
                  <c:v>T4-01</c:v>
                </c:pt>
                <c:pt idx="8">
                  <c:v>T1-02</c:v>
                </c:pt>
                <c:pt idx="9">
                  <c:v>T2-02</c:v>
                </c:pt>
                <c:pt idx="10">
                  <c:v>T3-02</c:v>
                </c:pt>
                <c:pt idx="11">
                  <c:v>T4-02</c:v>
                </c:pt>
                <c:pt idx="12">
                  <c:v>T1-03</c:v>
                </c:pt>
                <c:pt idx="13">
                  <c:v>T2-03</c:v>
                </c:pt>
                <c:pt idx="14">
                  <c:v>T3-03</c:v>
                </c:pt>
                <c:pt idx="15">
                  <c:v>T4-03</c:v>
                </c:pt>
                <c:pt idx="16">
                  <c:v>T1-04</c:v>
                </c:pt>
                <c:pt idx="17">
                  <c:v>T2-04</c:v>
                </c:pt>
                <c:pt idx="18">
                  <c:v>T3-04</c:v>
                </c:pt>
                <c:pt idx="19">
                  <c:v>T4-04</c:v>
                </c:pt>
                <c:pt idx="20">
                  <c:v>T1-05</c:v>
                </c:pt>
                <c:pt idx="21">
                  <c:v>T2-05</c:v>
                </c:pt>
                <c:pt idx="22">
                  <c:v>T3-05</c:v>
                </c:pt>
                <c:pt idx="23">
                  <c:v>T4-05</c:v>
                </c:pt>
                <c:pt idx="24">
                  <c:v>T1-06</c:v>
                </c:pt>
                <c:pt idx="25">
                  <c:v>T2-06</c:v>
                </c:pt>
                <c:pt idx="26">
                  <c:v>T3-06</c:v>
                </c:pt>
                <c:pt idx="27">
                  <c:v>T4-06</c:v>
                </c:pt>
                <c:pt idx="28">
                  <c:v>T1-07</c:v>
                </c:pt>
                <c:pt idx="29">
                  <c:v>T2-07</c:v>
                </c:pt>
                <c:pt idx="30">
                  <c:v>T3-07</c:v>
                </c:pt>
                <c:pt idx="31">
                  <c:v>T4-07</c:v>
                </c:pt>
                <c:pt idx="32">
                  <c:v>T1-08</c:v>
                </c:pt>
                <c:pt idx="33">
                  <c:v>T2-08</c:v>
                </c:pt>
                <c:pt idx="34">
                  <c:v>T3-08</c:v>
                </c:pt>
                <c:pt idx="35">
                  <c:v>T4-08</c:v>
                </c:pt>
                <c:pt idx="36">
                  <c:v>T1-09</c:v>
                </c:pt>
                <c:pt idx="37">
                  <c:v>T2-09</c:v>
                </c:pt>
                <c:pt idx="38">
                  <c:v>T3-09</c:v>
                </c:pt>
                <c:pt idx="39">
                  <c:v>T4-09</c:v>
                </c:pt>
                <c:pt idx="40">
                  <c:v>T1-10</c:v>
                </c:pt>
                <c:pt idx="41">
                  <c:v>T2-10</c:v>
                </c:pt>
                <c:pt idx="42">
                  <c:v>T3-10</c:v>
                </c:pt>
                <c:pt idx="43">
                  <c:v>T4-10</c:v>
                </c:pt>
                <c:pt idx="44">
                  <c:v>T1-11</c:v>
                </c:pt>
                <c:pt idx="45">
                  <c:v>T2-11</c:v>
                </c:pt>
                <c:pt idx="46">
                  <c:v>T3-11</c:v>
                </c:pt>
                <c:pt idx="47">
                  <c:v>T4-11</c:v>
                </c:pt>
                <c:pt idx="48">
                  <c:v>T1-12</c:v>
                </c:pt>
                <c:pt idx="49">
                  <c:v>T2-12</c:v>
                </c:pt>
                <c:pt idx="50">
                  <c:v>T3-12</c:v>
                </c:pt>
                <c:pt idx="51">
                  <c:v>T4-12</c:v>
                </c:pt>
                <c:pt idx="52">
                  <c:v>T1-13</c:v>
                </c:pt>
                <c:pt idx="53">
                  <c:v>T2-13</c:v>
                </c:pt>
                <c:pt idx="54">
                  <c:v>T3-13</c:v>
                </c:pt>
                <c:pt idx="55">
                  <c:v>T4-13</c:v>
                </c:pt>
                <c:pt idx="56">
                  <c:v>T1-14</c:v>
                </c:pt>
                <c:pt idx="57">
                  <c:v>T2-14</c:v>
                </c:pt>
                <c:pt idx="58">
                  <c:v>T3-14</c:v>
                </c:pt>
                <c:pt idx="59">
                  <c:v>T4-14</c:v>
                </c:pt>
                <c:pt idx="60">
                  <c:v>T1-15</c:v>
                </c:pt>
                <c:pt idx="61">
                  <c:v>T2-15</c:v>
                </c:pt>
                <c:pt idx="62">
                  <c:v>T3-15</c:v>
                </c:pt>
                <c:pt idx="63">
                  <c:v>T4-15</c:v>
                </c:pt>
                <c:pt idx="64">
                  <c:v>T1-16</c:v>
                </c:pt>
                <c:pt idx="65">
                  <c:v>T2-16</c:v>
                </c:pt>
                <c:pt idx="66">
                  <c:v>T3-16</c:v>
                </c:pt>
                <c:pt idx="67">
                  <c:v>T4-16</c:v>
                </c:pt>
                <c:pt idx="68">
                  <c:v>T1-17</c:v>
                </c:pt>
                <c:pt idx="69">
                  <c:v>T2-17</c:v>
                </c:pt>
                <c:pt idx="70">
                  <c:v>T3-17</c:v>
                </c:pt>
                <c:pt idx="71">
                  <c:v>T4-17</c:v>
                </c:pt>
                <c:pt idx="72">
                  <c:v>T1-18</c:v>
                </c:pt>
                <c:pt idx="73">
                  <c:v>T2-18</c:v>
                </c:pt>
                <c:pt idx="74">
                  <c:v>T3-18</c:v>
                </c:pt>
                <c:pt idx="75">
                  <c:v>T4-18</c:v>
                </c:pt>
              </c:strCache>
            </c:strRef>
          </c:cat>
          <c:val>
            <c:numRef>
              <c:f>'Série IHPI_trimestrielle'!$H$4:$H$79</c:f>
              <c:numCache>
                <c:formatCode>0.0</c:formatCode>
                <c:ptCount val="76"/>
                <c:pt idx="0">
                  <c:v>50.276015448470773</c:v>
                </c:pt>
                <c:pt idx="1">
                  <c:v>50.503450535561811</c:v>
                </c:pt>
                <c:pt idx="2">
                  <c:v>55.221689007242311</c:v>
                </c:pt>
                <c:pt idx="3">
                  <c:v>62.140647562361281</c:v>
                </c:pt>
                <c:pt idx="4">
                  <c:v>73.391887659389511</c:v>
                </c:pt>
                <c:pt idx="5">
                  <c:v>84.283357122302178</c:v>
                </c:pt>
                <c:pt idx="6">
                  <c:v>75.165888844919493</c:v>
                </c:pt>
                <c:pt idx="7">
                  <c:v>80.557804757408547</c:v>
                </c:pt>
                <c:pt idx="8">
                  <c:v>74.050355946893788</c:v>
                </c:pt>
                <c:pt idx="9">
                  <c:v>67.723486521066278</c:v>
                </c:pt>
                <c:pt idx="10">
                  <c:v>87.223586721011543</c:v>
                </c:pt>
                <c:pt idx="11">
                  <c:v>79.402166716211369</c:v>
                </c:pt>
                <c:pt idx="12">
                  <c:v>85.303000261660941</c:v>
                </c:pt>
                <c:pt idx="13">
                  <c:v>87.506488835485229</c:v>
                </c:pt>
                <c:pt idx="14">
                  <c:v>88.260208061885706</c:v>
                </c:pt>
                <c:pt idx="15">
                  <c:v>77.628880379725629</c:v>
                </c:pt>
                <c:pt idx="16">
                  <c:v>83.608377057533318</c:v>
                </c:pt>
                <c:pt idx="17">
                  <c:v>89.091802251582678</c:v>
                </c:pt>
                <c:pt idx="18">
                  <c:v>91.311929024290563</c:v>
                </c:pt>
                <c:pt idx="19">
                  <c:v>90.469981450625085</c:v>
                </c:pt>
                <c:pt idx="20">
                  <c:v>88.906394956212793</c:v>
                </c:pt>
                <c:pt idx="21">
                  <c:v>96.113344973418478</c:v>
                </c:pt>
                <c:pt idx="22">
                  <c:v>95.034723526536709</c:v>
                </c:pt>
                <c:pt idx="23">
                  <c:v>85.306001171499133</c:v>
                </c:pt>
                <c:pt idx="24">
                  <c:v>90.680861851444405</c:v>
                </c:pt>
                <c:pt idx="25">
                  <c:v>91.134480690064649</c:v>
                </c:pt>
                <c:pt idx="26">
                  <c:v>96.266689988432944</c:v>
                </c:pt>
                <c:pt idx="27">
                  <c:v>85.417048460963272</c:v>
                </c:pt>
                <c:pt idx="28">
                  <c:v>94.283819876448874</c:v>
                </c:pt>
                <c:pt idx="29">
                  <c:v>97.708182760666745</c:v>
                </c:pt>
                <c:pt idx="30">
                  <c:v>100.5633418876249</c:v>
                </c:pt>
                <c:pt idx="31">
                  <c:v>107.4446554752594</c:v>
                </c:pt>
                <c:pt idx="32">
                  <c:v>98.253354136755661</c:v>
                </c:pt>
                <c:pt idx="33">
                  <c:v>86.557571825894414</c:v>
                </c:pt>
                <c:pt idx="34">
                  <c:v>96.094892487576729</c:v>
                </c:pt>
                <c:pt idx="35">
                  <c:v>117.1511778298468</c:v>
                </c:pt>
                <c:pt idx="36">
                  <c:v>96.393314654704128</c:v>
                </c:pt>
                <c:pt idx="37">
                  <c:v>106.35221734436681</c:v>
                </c:pt>
                <c:pt idx="38">
                  <c:v>110.5376301268615</c:v>
                </c:pt>
                <c:pt idx="39">
                  <c:v>100.99381393846301</c:v>
                </c:pt>
                <c:pt idx="40">
                  <c:v>99.062064520154109</c:v>
                </c:pt>
                <c:pt idx="41">
                  <c:v>103.9438646094997</c:v>
                </c:pt>
                <c:pt idx="42">
                  <c:v>144.0665764037698</c:v>
                </c:pt>
                <c:pt idx="43">
                  <c:v>138.52060462950871</c:v>
                </c:pt>
                <c:pt idx="44">
                  <c:v>111.4226878967597</c:v>
                </c:pt>
                <c:pt idx="45">
                  <c:v>152.49276846307461</c:v>
                </c:pt>
                <c:pt idx="46">
                  <c:v>152.49276846307461</c:v>
                </c:pt>
                <c:pt idx="47">
                  <c:v>118.38249825069251</c:v>
                </c:pt>
                <c:pt idx="48">
                  <c:v>109.64959989494299</c:v>
                </c:pt>
                <c:pt idx="49">
                  <c:v>106.3650009334785</c:v>
                </c:pt>
                <c:pt idx="50">
                  <c:v>105.58545209593829</c:v>
                </c:pt>
                <c:pt idx="51">
                  <c:v>112.788829221033</c:v>
                </c:pt>
                <c:pt idx="52">
                  <c:v>114.9630179130853</c:v>
                </c:pt>
                <c:pt idx="53">
                  <c:v>111.77680328176</c:v>
                </c:pt>
                <c:pt idx="54">
                  <c:v>115.5765188575501</c:v>
                </c:pt>
                <c:pt idx="55">
                  <c:v>113.56174159871181</c:v>
                </c:pt>
                <c:pt idx="56">
                  <c:v>107.26310576684951</c:v>
                </c:pt>
                <c:pt idx="57">
                  <c:v>95.72584104136655</c:v>
                </c:pt>
                <c:pt idx="58">
                  <c:v>111.89288516400531</c:v>
                </c:pt>
                <c:pt idx="59">
                  <c:v>113.7528206198416</c:v>
                </c:pt>
                <c:pt idx="60">
                  <c:v>116.0974784417233</c:v>
                </c:pt>
                <c:pt idx="61">
                  <c:v>115.5690026722139</c:v>
                </c:pt>
                <c:pt idx="62">
                  <c:v>105.7553203084852</c:v>
                </c:pt>
                <c:pt idx="63">
                  <c:v>115.2941586053132</c:v>
                </c:pt>
                <c:pt idx="64">
                  <c:v>115.5582576468761</c:v>
                </c:pt>
                <c:pt idx="65">
                  <c:v>106.9375448620137</c:v>
                </c:pt>
                <c:pt idx="66">
                  <c:v>105.6316518557077</c:v>
                </c:pt>
                <c:pt idx="67">
                  <c:v>106.15573443217539</c:v>
                </c:pt>
                <c:pt idx="68">
                  <c:v>106.5790772557403</c:v>
                </c:pt>
                <c:pt idx="69">
                  <c:v>100.13265131431289</c:v>
                </c:pt>
                <c:pt idx="70">
                  <c:v>115.9101995786402</c:v>
                </c:pt>
                <c:pt idx="71">
                  <c:v>110.7907664139591</c:v>
                </c:pt>
                <c:pt idx="72">
                  <c:v>113.00665899854251</c:v>
                </c:pt>
                <c:pt idx="73">
                  <c:v>102.6223133181217</c:v>
                </c:pt>
                <c:pt idx="74">
                  <c:v>115.1926357093909</c:v>
                </c:pt>
                <c:pt idx="75">
                  <c:v>115.6688597419966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2092648576"/>
        <c:axId val="-2092635520"/>
      </c:lineChart>
      <c:catAx>
        <c:axId val="-2092648576"/>
        <c:scaling>
          <c:orientation val="minMax"/>
        </c:scaling>
        <c:delete val="0"/>
        <c:axPos val="b"/>
        <c:majorGridlines>
          <c:spPr>
            <a:ln>
              <a:prstDash val="sysDot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prstDash val="sysDash"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-2092635520"/>
        <c:crosses val="autoZero"/>
        <c:auto val="1"/>
        <c:lblAlgn val="ctr"/>
        <c:lblOffset val="100"/>
        <c:tickMarkSkip val="1"/>
        <c:noMultiLvlLbl val="0"/>
      </c:catAx>
      <c:valAx>
        <c:axId val="-2092635520"/>
        <c:scaling>
          <c:orientation val="minMax"/>
        </c:scaling>
        <c:delete val="0"/>
        <c:axPos val="l"/>
        <c:majorGridlines>
          <c:spPr>
            <a:ln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crossAx val="-2092648576"/>
        <c:crosses val="autoZero"/>
        <c:crossBetween val="midCat"/>
        <c:majorUnit val="10"/>
      </c:valAx>
      <c:spPr>
        <a:solidFill>
          <a:schemeClr val="accent5">
            <a:lumMod val="20000"/>
            <a:lumOff val="80000"/>
          </a:schemeClr>
        </a:solidFill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F3DF7-D70E-469A-8301-F6323B55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9123</TotalTime>
  <Pages>3</Pages>
  <Words>1127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hp620-K</dc:creator>
  <cp:lastModifiedBy>HP</cp:lastModifiedBy>
  <cp:revision>9</cp:revision>
  <cp:lastPrinted>2018-10-19T12:00:00Z</cp:lastPrinted>
  <dcterms:created xsi:type="dcterms:W3CDTF">2019-02-28T18:49:00Z</dcterms:created>
  <dcterms:modified xsi:type="dcterms:W3CDTF">2019-03-19T08:07:00Z</dcterms:modified>
</cp:coreProperties>
</file>